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F2937"/>
          <w:sz w:val="34"/>
        </w:rPr>
        <w:t>硫酸酯化纤维素纳米纤维（磺酸基CNF）</w:t>
      </w:r>
    </w:p>
    <w:p>
      <w:pPr>
        <w:spacing w:after="100"/>
        <w:jc w:val="center"/>
      </w:pPr>
      <w:r>
        <w:rPr>
          <w:color w:val="667085"/>
          <w:sz w:val="19"/>
        </w:rPr>
        <w:t>Sulfated Cellulose Nanofibrils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3457"/>
        <w:gridCol w:w="3457"/>
        <w:gridCol w:w="3457"/>
      </w:tblGrid>
      <w:tr>
        <w:tc>
          <w:tcPr>
            <w:tcW w:type="dxa" w:w="3457"/>
            <w:shd w:fill="F4F7F5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>
              <w:rPr>
                <w:b/>
                <w:color w:val="45B82A"/>
                <w:sz w:val="15"/>
              </w:rPr>
              <w:t>产品缩写</w:t>
              <w:br/>
            </w:r>
            <w:r>
              <w:rPr>
                <w:sz w:val="16"/>
              </w:rPr>
              <w:t>S-CNF</w:t>
            </w:r>
          </w:p>
        </w:tc>
        <w:tc>
          <w:tcPr>
            <w:tcW w:type="dxa" w:w="3457"/>
            <w:shd w:fill="F4F7F5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>
              <w:rPr>
                <w:b/>
                <w:color w:val="45B82A"/>
                <w:sz w:val="15"/>
              </w:rPr>
              <w:t>产品形态</w:t>
              <w:br/>
            </w:r>
            <w:r>
              <w:rPr>
                <w:sz w:val="16"/>
              </w:rPr>
              <w:t>水分散液 / 凝胶</w:t>
            </w:r>
          </w:p>
        </w:tc>
        <w:tc>
          <w:tcPr>
            <w:tcW w:type="dxa" w:w="3457"/>
            <w:shd w:fill="F4F7F5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>
              <w:rPr>
                <w:b/>
                <w:color w:val="45B82A"/>
                <w:sz w:val="15"/>
              </w:rPr>
              <w:t>文件编号</w:t>
              <w:br/>
            </w:r>
            <w:r>
              <w:rPr>
                <w:sz w:val="16"/>
              </w:rPr>
              <w:t>CB-TDS-12</w:t>
            </w:r>
          </w:p>
        </w:tc>
      </w:tr>
    </w:tbl>
    <w:p>
      <w:pPr>
        <w:spacing w:before="100" w:after="40"/>
      </w:pPr>
      <w:r>
        <w:rPr>
          <w:b/>
          <w:color w:val="2456D8"/>
          <w:sz w:val="22"/>
        </w:rPr>
        <w:t>01  产品概述</w:t>
      </w:r>
    </w:p>
    <w:p>
      <w:pPr>
        <w:spacing w:line="276" w:lineRule="auto" w:after="40"/>
      </w:pPr>
      <w:r>
        <w:t>将CNF高长径比网络与硫酸酯阴离子表面结合，可用于水相分散、流变、功能膜和界面复合研究。 赛路生物 CelluBio 可面向科研及企业研发提供材料选型与小试参考。</w:t>
      </w:r>
    </w:p>
    <w:p>
      <w:pPr>
        <w:spacing w:before="100" w:after="40"/>
      </w:pPr>
      <w:r>
        <w:rPr>
          <w:b/>
          <w:color w:val="2456D8"/>
          <w:sz w:val="22"/>
        </w:rPr>
        <w:t>02  产品基本信息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592"/>
        <w:gridCol w:w="2592"/>
        <w:gridCol w:w="2592"/>
        <w:gridCol w:w="2592"/>
      </w:tblGrid>
      <w:tr>
        <w:tc>
          <w:tcPr>
            <w:tcW w:type="dxa" w:w="2592"/>
            <w:shd w:fill="2456D8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5"/>
              </w:rPr>
              <w:t>表面基团</w:t>
            </w:r>
          </w:p>
        </w:tc>
        <w:tc>
          <w:tcPr>
            <w:tcW w:type="dxa" w:w="2592"/>
            <w:shd w:fill="2456D8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5"/>
              </w:rPr>
              <w:t>原料来源</w:t>
            </w:r>
          </w:p>
        </w:tc>
        <w:tc>
          <w:tcPr>
            <w:tcW w:type="dxa" w:w="2592"/>
            <w:shd w:fill="2456D8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5"/>
              </w:rPr>
              <w:t>表面电性</w:t>
            </w:r>
          </w:p>
        </w:tc>
        <w:tc>
          <w:tcPr>
            <w:tcW w:type="dxa" w:w="2592"/>
            <w:shd w:fill="2456D8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5"/>
              </w:rPr>
              <w:t>分散介质</w:t>
            </w:r>
          </w:p>
        </w:tc>
      </w:tr>
      <w:tr>
        <w:tc>
          <w:tcPr>
            <w:tcW w:type="dxa" w:w="2592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>
              <w:rPr>
                <w:sz w:val="15"/>
              </w:rPr>
              <w:t>–OH、–OSO₃H</w:t>
            </w:r>
          </w:p>
        </w:tc>
        <w:tc>
          <w:tcPr>
            <w:tcW w:type="dxa" w:w="2592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>
              <w:rPr>
                <w:sz w:val="15"/>
              </w:rPr>
              <w:t>植物源纤维素</w:t>
            </w:r>
          </w:p>
        </w:tc>
        <w:tc>
          <w:tcPr>
            <w:tcW w:type="dxa" w:w="2592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>
              <w:rPr>
                <w:sz w:val="15"/>
              </w:rPr>
              <w:t>阴离子型</w:t>
            </w:r>
          </w:p>
        </w:tc>
        <w:tc>
          <w:tcPr>
            <w:tcW w:type="dxa" w:w="2592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>
              <w:rPr>
                <w:sz w:val="15"/>
              </w:rPr>
              <w:t>去离子水</w:t>
            </w:r>
          </w:p>
        </w:tc>
      </w:tr>
    </w:tbl>
    <w:p>
      <w:pPr>
        <w:spacing w:before="100" w:after="40"/>
      </w:pPr>
      <w:r>
        <w:rPr>
          <w:b/>
          <w:color w:val="2456D8"/>
          <w:sz w:val="22"/>
        </w:rPr>
        <w:t>03  典型技术指标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457"/>
        <w:gridCol w:w="3457"/>
        <w:gridCol w:w="3457"/>
      </w:tblGrid>
      <w:tr>
        <w:tc>
          <w:tcPr>
            <w:tcW w:type="dxa" w:w="3457"/>
            <w:shd w:fill="2456D8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6"/>
              </w:rPr>
              <w:t>项目</w:t>
            </w:r>
          </w:p>
        </w:tc>
        <w:tc>
          <w:tcPr>
            <w:tcW w:type="dxa" w:w="3457"/>
            <w:shd w:fill="2456D8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6"/>
              </w:rPr>
              <w:t>技术指标</w:t>
            </w:r>
          </w:p>
        </w:tc>
        <w:tc>
          <w:tcPr>
            <w:tcW w:type="dxa" w:w="3457"/>
            <w:shd w:fill="2456D8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6"/>
              </w:rPr>
              <w:t>备注</w:t>
            </w:r>
          </w:p>
        </w:tc>
      </w:tr>
      <w:tr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5"/>
              </w:rPr>
              <w:t>外观</w:t>
            </w:r>
          </w:p>
        </w:tc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5"/>
              </w:rPr>
              <w:t>透明糊状</w:t>
            </w:r>
          </w:p>
        </w:tc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4"/>
              </w:rPr>
              <w:t>典型/控制指标</w:t>
            </w:r>
          </w:p>
        </w:tc>
      </w:tr>
      <w:tr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5"/>
              </w:rPr>
              <w:t>固含量</w:t>
            </w:r>
          </w:p>
        </w:tc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5"/>
              </w:rPr>
              <w:t>1wt%</w:t>
            </w:r>
          </w:p>
        </w:tc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4"/>
              </w:rPr>
              <w:t>典型/控制指标</w:t>
            </w:r>
          </w:p>
        </w:tc>
      </w:tr>
      <w:tr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5"/>
              </w:rPr>
              <w:t>直径</w:t>
            </w:r>
          </w:p>
        </w:tc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5"/>
              </w:rPr>
              <w:t>10-30nm</w:t>
            </w:r>
          </w:p>
        </w:tc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4"/>
              </w:rPr>
              <w:t>典型/控制指标</w:t>
            </w:r>
          </w:p>
        </w:tc>
      </w:tr>
      <w:tr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5"/>
              </w:rPr>
              <w:t>长度</w:t>
            </w:r>
          </w:p>
        </w:tc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5"/>
              </w:rPr>
              <w:t>≥5μm</w:t>
            </w:r>
          </w:p>
        </w:tc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4"/>
              </w:rPr>
              <w:t>典型/控制指标</w:t>
            </w:r>
          </w:p>
        </w:tc>
      </w:tr>
      <w:tr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5"/>
              </w:rPr>
              <w:t>结晶度</w:t>
            </w:r>
          </w:p>
        </w:tc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5"/>
              </w:rPr>
              <w:t>≥70%</w:t>
            </w:r>
          </w:p>
        </w:tc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4"/>
              </w:rPr>
              <w:t>典型/控制指标</w:t>
            </w:r>
          </w:p>
        </w:tc>
      </w:tr>
      <w:tr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5"/>
              </w:rPr>
              <w:t>基团含量</w:t>
            </w:r>
          </w:p>
        </w:tc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5"/>
              </w:rPr>
              <w:t>0.04mmol/g</w:t>
            </w:r>
          </w:p>
        </w:tc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4"/>
              </w:rPr>
              <w:t>典型/控制指标</w:t>
            </w:r>
          </w:p>
        </w:tc>
      </w:tr>
      <w:tr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5"/>
              </w:rPr>
              <w:t>pH</w:t>
            </w:r>
          </w:p>
        </w:tc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5"/>
              </w:rPr>
              <w:t>6-8</w:t>
            </w:r>
          </w:p>
        </w:tc>
        <w:tc>
          <w:tcPr>
            <w:tcW w:type="dxa" w:w="3457"/>
            <w:tcMar>
              <w:top w:w="45" w:type="dxa"/>
              <w:start w:w="70" w:type="dxa"/>
              <w:bottom w:w="45" w:type="dxa"/>
              <w:end w:w="70" w:type="dxa"/>
            </w:tcMar>
          </w:tcPr>
          <w:p>
            <w:r>
              <w:rPr>
                <w:sz w:val="14"/>
              </w:rPr>
              <w:t>典型/控制指标</w:t>
            </w:r>
          </w:p>
        </w:tc>
      </w:tr>
    </w:tbl>
    <w:p>
      <w:r>
        <w:rPr>
          <w:color w:val="667085"/>
          <w:sz w:val="14"/>
        </w:rPr>
        <w:t>注：以上参数依据现有产品说明整理；涉及不同型号、形态或批次的项目，以对应 COA 及实测结果为准。</w:t>
      </w:r>
    </w:p>
    <w:p>
      <w:pPr>
        <w:spacing w:before="100" w:after="40"/>
      </w:pPr>
      <w:r>
        <w:rPr>
          <w:b/>
          <w:color w:val="2456D8"/>
          <w:sz w:val="22"/>
        </w:rPr>
        <w:t>04  推荐应用方向</w:t>
      </w:r>
    </w:p>
    <w:p>
      <w:pPr>
        <w:spacing w:after="20"/>
        <w:ind w:left="142"/>
      </w:pPr>
      <w:r>
        <w:rPr>
          <w:b/>
          <w:color w:val="45B82A"/>
        </w:rPr>
        <w:t xml:space="preserve">• </w:t>
      </w:r>
      <w:r>
        <w:t>功能膜</w:t>
      </w:r>
    </w:p>
    <w:p>
      <w:pPr>
        <w:spacing w:after="20"/>
        <w:ind w:left="142"/>
      </w:pPr>
      <w:r>
        <w:rPr>
          <w:b/>
          <w:color w:val="45B82A"/>
        </w:rPr>
        <w:t xml:space="preserve">• </w:t>
      </w:r>
      <w:r>
        <w:t>水凝胶</w:t>
      </w:r>
    </w:p>
    <w:p>
      <w:pPr>
        <w:spacing w:after="20"/>
        <w:ind w:left="142"/>
      </w:pPr>
      <w:r>
        <w:rPr>
          <w:b/>
          <w:color w:val="45B82A"/>
        </w:rPr>
        <w:t xml:space="preserve">• </w:t>
      </w:r>
      <w:r>
        <w:t>涂层</w:t>
      </w:r>
    </w:p>
    <w:p>
      <w:pPr>
        <w:spacing w:after="20"/>
        <w:ind w:left="142"/>
      </w:pPr>
      <w:r>
        <w:rPr>
          <w:b/>
          <w:color w:val="45B82A"/>
        </w:rPr>
        <w:t xml:space="preserve">• </w:t>
      </w:r>
      <w:r>
        <w:t>流变调节</w:t>
      </w:r>
    </w:p>
    <w:p>
      <w:pPr>
        <w:spacing w:after="20"/>
        <w:ind w:left="142"/>
      </w:pPr>
      <w:r>
        <w:rPr>
          <w:b/>
          <w:color w:val="45B82A"/>
        </w:rPr>
        <w:t xml:space="preserve">• </w:t>
      </w:r>
      <w:r>
        <w:t>复合材料</w:t>
      </w:r>
    </w:p>
    <w:p>
      <w:pPr>
        <w:spacing w:after="20"/>
        <w:ind w:left="142"/>
      </w:pPr>
      <w:r>
        <w:rPr>
          <w:b/>
          <w:color w:val="45B82A"/>
        </w:rPr>
        <w:t xml:space="preserve">• </w:t>
      </w:r>
      <w:r>
        <w:t>界面研究</w:t>
      </w:r>
    </w:p>
    <w:p>
      <w:pPr>
        <w:spacing w:before="100" w:after="40"/>
      </w:pPr>
      <w:r>
        <w:rPr>
          <w:b/>
          <w:color w:val="2456D8"/>
          <w:sz w:val="22"/>
        </w:rPr>
        <w:t>05  使用与分散建议</w:t>
      </w:r>
    </w:p>
    <w:p>
      <w:pPr>
        <w:spacing w:after="20"/>
      </w:pPr>
      <w:r>
        <w:t>推荐添加量</w:t>
        <w:br/>
        <w:t>建议从 0.1–1 wt% 开始筛选。</w:t>
      </w:r>
    </w:p>
    <w:p>
      <w:pPr>
        <w:spacing w:after="20"/>
      </w:pPr>
      <w:r>
        <w:rPr>
          <w:b/>
          <w:color w:val="45B82A"/>
        </w:rPr>
        <w:t>加入方法：</w:t>
      </w:r>
      <w:r>
        <w:t>先在水相中均匀分散，再逐步加入聚合物、涂层或凝胶体系。</w:t>
      </w:r>
    </w:p>
    <w:p>
      <w:pPr>
        <w:spacing w:after="20"/>
      </w:pPr>
      <w:r>
        <w:t>分散方法</w:t>
        <w:br/>
        <w:t>机械搅拌为主，高黏体系可采用高速剪切。</w:t>
      </w:r>
    </w:p>
    <w:p>
      <w:pPr>
        <w:spacing w:after="20"/>
      </w:pPr>
      <w:r>
        <w:t>使用注意</w:t>
        <w:br/>
        <w:t>硫酸酯基赋予材料阴离子特征，应关注盐浓度、pH及阳离子组分引起的絮凝风险。</w:t>
      </w:r>
    </w:p>
    <w:p>
      <w:pPr>
        <w:spacing w:after="20"/>
      </w:pPr>
      <w:r>
        <w:t>小试建议</w:t>
        <w:br/>
        <w:t>建议比较添加量对黏度、网络结构、成膜和稳定性的影响。</w:t>
      </w:r>
    </w:p>
    <w:p>
      <w:pPr>
        <w:spacing w:before="100" w:after="40"/>
      </w:pPr>
      <w:r>
        <w:rPr>
          <w:b/>
          <w:color w:val="2456D8"/>
          <w:sz w:val="22"/>
        </w:rPr>
        <w:t>06  选型与应用注意</w:t>
      </w:r>
    </w:p>
    <w:p>
      <w:pPr>
        <w:spacing w:after="20"/>
        <w:ind w:left="142"/>
      </w:pPr>
      <w:r>
        <w:rPr>
          <w:b/>
          <w:color w:val="45B82A"/>
        </w:rPr>
        <w:t xml:space="preserve">• </w:t>
      </w:r>
      <w:r>
        <w:t>带阴离子表面特征，应用中应关注 pH、盐浓度、多价离子及带相反电荷组分对分散稳定性的影响。</w:t>
      </w:r>
    </w:p>
    <w:p>
      <w:pPr>
        <w:spacing w:before="100" w:after="40"/>
      </w:pPr>
      <w:r>
        <w:rPr>
          <w:b/>
          <w:color w:val="2456D8"/>
          <w:sz w:val="22"/>
        </w:rPr>
        <w:t>07  包装、储存与运输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85"/>
        <w:gridCol w:w="5185"/>
      </w:tblGrid>
      <w:tr>
        <w:tc>
          <w:tcPr>
            <w:tcW w:type="dxa" w:w="5185"/>
            <w:shd w:fill="F4F7F5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>
              <w:rPr>
                <w:b/>
                <w:color w:val="45B82A"/>
                <w:sz w:val="15"/>
              </w:rPr>
              <w:t>包装供应</w:t>
            </w:r>
          </w:p>
        </w:tc>
        <w:tc>
          <w:tcPr>
            <w:tcW w:type="dxa" w:w="5185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>
              <w:rPr>
                <w:sz w:val="15"/>
              </w:rPr>
              <w:t>支持克级小样、公斤级试样及批量供货；具体包装依据产品形态和采购数量确定。</w:t>
            </w:r>
          </w:p>
        </w:tc>
      </w:tr>
      <w:tr>
        <w:tc>
          <w:tcPr>
            <w:tcW w:type="dxa" w:w="5185"/>
            <w:shd w:fill="F4F7F5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>
              <w:rPr>
                <w:b/>
                <w:color w:val="45B82A"/>
                <w:sz w:val="15"/>
              </w:rPr>
              <w:t>储存建议</w:t>
            </w:r>
          </w:p>
        </w:tc>
        <w:tc>
          <w:tcPr>
            <w:tcW w:type="dxa" w:w="5185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>
              <w:rPr>
                <w:sz w:val="15"/>
              </w:rPr>
              <w:t>密封保存，避免污染、失水或吸湿；具体储存条件以产品标签、COA/SDS及对应型号要求为准。</w:t>
            </w:r>
          </w:p>
        </w:tc>
      </w:tr>
      <w:tr>
        <w:tc>
          <w:tcPr>
            <w:tcW w:type="dxa" w:w="5185"/>
            <w:shd w:fill="F4F7F5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>
              <w:rPr>
                <w:b/>
                <w:color w:val="45B82A"/>
                <w:sz w:val="15"/>
              </w:rPr>
              <w:t>运输建议</w:t>
            </w:r>
          </w:p>
        </w:tc>
        <w:tc>
          <w:tcPr>
            <w:tcW w:type="dxa" w:w="5185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>
              <w:rPr>
                <w:sz w:val="15"/>
              </w:rPr>
              <w:t>根据水分散液、凝胶、粉末或膜材等不同形态选择适宜包装与物流方式。</w:t>
            </w:r>
          </w:p>
        </w:tc>
      </w:tr>
    </w:tbl>
    <w:p>
      <w:pPr>
        <w:spacing w:before="100" w:after="40"/>
      </w:pPr>
      <w:r>
        <w:rPr>
          <w:b/>
          <w:color w:val="2456D8"/>
          <w:sz w:val="22"/>
        </w:rPr>
        <w:t>08  技术资料与声明</w:t>
      </w:r>
    </w:p>
    <w:p>
      <w:r>
        <w:rPr>
          <w:sz w:val="15"/>
        </w:rPr>
        <w:t>可配套提供产品检测报告（COA）、表征资料、应用指南及小试参考方案。本文档用于材料选型、实验设计和应用开发参考，不替代针对最终用途的法规、质量或安全评价。涉及食品、化妆品、医疗等受监管用途时，应依据目标市场和最终用途另行确认合规要求。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765" w:right="935" w:bottom="765" w:left="9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667085"/>
        <w:sz w:val="14"/>
      </w:rPr>
      <w:t>CelluBio® | CNC · CNF · BC/BNC · 功能化生物基材料</w:t>
    </w:r>
  </w:p>
  <w:p>
    <w:pPr>
      <w:jc w:val="center"/>
    </w:pPr>
    <w:r>
      <w:rPr>
        <w:sz w:val="14"/>
      </w:rPr>
      <w:t xml:space="preserve">技术数据表 | CB-TDS-12 |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4961"/>
      <w:gridCol w:w="4961"/>
    </w:tblGrid>
    <w:tr>
      <w:tc>
        <w:tcPr>
          <w:tcW w:type="dxa" w:w="4961"/>
        </w:tcPr>
        <w:p>
          <w:r>
            <w:drawing>
              <wp:inline xmlns:a="http://schemas.openxmlformats.org/drawingml/2006/main" xmlns:pic="http://schemas.openxmlformats.org/drawingml/2006/picture">
                <wp:extent cx="1440000" cy="780335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04D03E69-9473-479C-B206-E9C0ED1F6FBF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0000" cy="780335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961"/>
        </w:tcPr>
        <w:p>
          <w:pPr>
            <w:jc w:val="right"/>
          </w:pPr>
          <w:r>
            <w:rPr>
              <w:b/>
              <w:color w:val="1F2937"/>
              <w:sz w:val="24"/>
            </w:rPr>
            <w:t>TECHNICAL DATA SHEET</w:t>
            <w:br/>
            <w:t>技术数据表</w:t>
          </w:r>
          <w:r>
            <w:rPr>
              <w:color w:val="667085"/>
              <w:sz w:val="15"/>
            </w:rPr>
            <w:br/>
            <w:t>CelluBio® | 纳米纤维素材料与应用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Microsoft YaHei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