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5DD3B7">
      <w:pPr>
        <w:pStyle w:val="31"/>
        <w:jc w:val="center"/>
      </w:pPr>
      <w:r>
        <w:t>纳米纤维素XRD X射线衍射</w:t>
      </w:r>
    </w:p>
    <w:p w14:paraId="2CE12E86">
      <w:pPr>
        <w:jc w:val="center"/>
        <w:rPr>
          <w:rFonts w:ascii="Arial Unicode MS" w:hAnsi="Arial Unicode MS" w:eastAsia="Arial Unicode MS" w:cstheme="majorBidi"/>
          <w:color w:val="000000"/>
          <w:spacing w:val="5"/>
          <w:kern w:val="28"/>
          <w:sz w:val="38"/>
          <w:szCs w:val="52"/>
          <w:lang w:val="en-US" w:eastAsia="en-US" w:bidi="ar-SA"/>
        </w:rPr>
      </w:pPr>
      <w:r>
        <w:rPr>
          <w:rFonts w:ascii="Arial Unicode MS" w:hAnsi="Arial Unicode MS" w:eastAsia="Arial Unicode MS" w:cstheme="majorBidi"/>
          <w:color w:val="000000"/>
          <w:spacing w:val="5"/>
          <w:kern w:val="28"/>
          <w:sz w:val="38"/>
          <w:szCs w:val="52"/>
          <w:lang w:val="en-US" w:eastAsia="en-US" w:bidi="ar-SA"/>
        </w:rPr>
        <w:t>制样方法与常见问题解决办法</w:t>
      </w:r>
    </w:p>
    <w:p w14:paraId="1BCD7CCD">
      <w:r>
        <w:rPr>
          <w:b/>
        </w:rPr>
        <w:t xml:space="preserve">适用范围  </w:t>
      </w:r>
      <w:r>
        <w:t>用于识别晶型与比较结晶度指数。</w:t>
      </w:r>
    </w:p>
    <w:p w14:paraId="7DCFAB88">
      <w:r>
        <w:rPr>
          <w:b/>
        </w:rPr>
        <w:t xml:space="preserve">使用说明  </w:t>
      </w:r>
      <w:r>
        <w:t>以下数值为起始试验建议，并非统一标准。样品浓度均指质量分数；具体参数按仪器、表面改性和测试目的与平台确认。操作设备遵守平台规程。</w:t>
      </w:r>
    </w:p>
    <w:p w14:paraId="27500A65">
      <w:pPr>
        <w:pStyle w:val="3"/>
      </w:pPr>
      <w:r>
        <w:t>一 制样前准备</w:t>
      </w:r>
    </w:p>
    <w:p w14:paraId="0E9B58CA">
      <w:r>
        <w:rPr>
          <w:b/>
        </w:rPr>
        <w:t xml:space="preserve">用品  </w:t>
      </w:r>
      <w:r>
        <w:t>干燥器、洁净样品架、刮片、适合少量样品的低背景样品台；样品量由样品槽决定。</w:t>
      </w:r>
    </w:p>
    <w:p w14:paraId="6830E587">
      <w:r>
        <w:rPr>
          <w:b/>
        </w:rPr>
        <w:t xml:space="preserve">样品信息  </w:t>
      </w:r>
      <w:r>
        <w:t>记录样品编号、类型、固含量、介质、改性方式和储存历史。保留原样与处理对照；所有处理条件写入制样记录。</w:t>
      </w:r>
    </w:p>
    <w:p w14:paraId="324B963E">
      <w:pPr>
        <w:pStyle w:val="3"/>
      </w:pPr>
      <w:r>
        <w:t>二 制样与上机步骤</w:t>
      </w:r>
    </w:p>
    <w:p w14:paraId="471D2C26">
      <w:r>
        <w:rPr>
          <w:b/>
        </w:rPr>
        <w:t xml:space="preserve">1 取样与预处理  </w:t>
      </w:r>
      <w:r>
        <w:t>取多个位置的样品合并混匀，按统一条件干燥。松散结块可轻压分散，不进行长时间高能球磨；保留处理前样品作为结构对照。</w:t>
      </w:r>
    </w:p>
    <w:p w14:paraId="7748D085">
      <w:r>
        <w:rPr>
          <w:b/>
        </w:rPr>
        <w:t xml:space="preserve">2 制成均匀干样  </w:t>
      </w:r>
      <w:r>
        <w:t>取代表性样品温和干燥至状态稳定，轻轻分散结块，避免强研磨改变结构；粉末均匀装入样品槽，铺平至规定高度，保证覆盖和厚度满足平台要求。</w:t>
      </w:r>
    </w:p>
    <w:p w14:paraId="3CAA4DCD">
      <w:r>
        <w:rPr>
          <w:b/>
        </w:rPr>
        <w:t xml:space="preserve">3 扫描与对照  </w:t>
      </w:r>
      <w:r>
        <w:t>薄膜应平整固定，注明测试方向；不同样品统一干燥、装样与扫描条件。Cu Kα条件下可与平台讨论以2θ约5°～40°作初步扫描范围。</w:t>
      </w:r>
    </w:p>
    <w:p w14:paraId="347F82B7">
      <w:r>
        <w:rPr>
          <w:b/>
        </w:rPr>
        <w:t xml:space="preserve">4 数据处理  </w:t>
      </w:r>
      <w:r>
        <w:t>记录辐射源、步长、扫描速率及结晶度算法；比较时统一扣背景和拟合方法，Segal指数与峰拟合结果不混用。</w:t>
      </w:r>
    </w:p>
    <w:p w14:paraId="6F68E3B5">
      <w:r>
        <w:rPr>
          <w:b/>
        </w:rPr>
        <w:t xml:space="preserve">5 保存与交接  </w:t>
      </w:r>
      <w:r>
        <w:t>粉末表面应平整并与样品架规定平面齐平，不压出明显择优取向。样品不足时咨询低背景载台，不用不明胶黏剂填充；薄膜记录正反面及纤维方向。</w:t>
      </w:r>
    </w:p>
    <w:p w14:paraId="7D6FE7CA">
      <w:r>
        <w:br w:type="page"/>
      </w:r>
    </w:p>
    <w:p w14:paraId="78C14A74">
      <w:pPr>
        <w:pStyle w:val="3"/>
      </w:pPr>
      <w:r>
        <w:t>三 常见问题与解决办法</w:t>
      </w:r>
    </w:p>
    <w:p w14:paraId="1C8D26E8">
      <w:pPr>
        <w:pStyle w:val="4"/>
      </w:pPr>
      <w:r>
        <w:t>1 同一样品峰位偏移</w:t>
      </w:r>
    </w:p>
    <w:p w14:paraId="7B696F91">
      <w:r>
        <w:t>先排查样品高度、台面安装和仪器校准，再判断晶型变化。不要未经检查就把小幅偏移归因于化学改性。</w:t>
      </w:r>
    </w:p>
    <w:p w14:paraId="75DE6480">
      <w:pPr>
        <w:pStyle w:val="4"/>
      </w:pPr>
      <w:r>
        <w:t>2 重复装样后峰强差别大</w:t>
      </w:r>
    </w:p>
    <w:p w14:paraId="401F4BCA">
      <w:r>
        <w:t>检查粉末取向、薄膜方向、装样厚度和样品覆盖；重新按统一方式装样。取向本身有意义时应单独设计取向实验。</w:t>
      </w:r>
    </w:p>
    <w:p w14:paraId="481CB420">
      <w:pPr>
        <w:pStyle w:val="4"/>
      </w:pPr>
      <w:r>
        <w:t>3 背景高或信噪比低</w:t>
      </w:r>
    </w:p>
    <w:p w14:paraId="4C4078F8">
      <w:r>
        <w:t>检查载台及胶带背景、样品厚度与扫描时间；测空白，并按平台建议增加有效样品量或延长采集。</w:t>
      </w:r>
    </w:p>
    <w:p w14:paraId="0551E385">
      <w:pPr>
        <w:pStyle w:val="4"/>
      </w:pPr>
      <w:r>
        <w:t>4 结晶度与文献相差很大</w:t>
      </w:r>
    </w:p>
    <w:p w14:paraId="47120B34">
      <w:r>
        <w:t>核对晶型、干燥状态、背景扣除和算法；只在相同分析流程下作趋势比较。峰拟合与Segal指数不得混作同一指标。</w:t>
      </w:r>
    </w:p>
    <w:p w14:paraId="146FFE79">
      <w:pPr>
        <w:pStyle w:val="3"/>
      </w:pPr>
      <w:r>
        <w:t>四 结果检查与记录</w:t>
      </w:r>
    </w:p>
    <w:p w14:paraId="76AB8C1C">
      <w:r>
        <w:t>保存原始强度数据、空白背景、扫描范围与步长。报告晶型判断依据及结晶度算法；使用Segal法时写清峰高与非晶背景取值规则，并确认适用于对应晶型。</w:t>
      </w:r>
    </w:p>
    <w:p w14:paraId="0ACC7267">
      <w:r>
        <w:rPr>
          <w:b/>
        </w:rPr>
        <w:t xml:space="preserve">复测原则  </w:t>
      </w:r>
      <w:r>
        <w:t>先排查制样、空白与仪器条件，每轮只改变一个主要变量。复测时保留原始数据和异常记录。</w:t>
      </w:r>
      <w:bookmarkStart w:id="0" w:name="_GoBack"/>
      <w:bookmarkEnd w:id="0"/>
    </w:p>
    <w:sectPr>
      <w:footerReference r:id="rId5" w:type="default"/>
      <w:pgSz w:w="11906" w:h="16838"/>
      <w:pgMar w:top="1020" w:right="1077" w:bottom="1020" w:left="107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mbria">
    <w:altName w:val="苹方-简"/>
    <w:panose1 w:val="02040503050406030204"/>
    <w:charset w:val="00"/>
    <w:family w:val="auto"/>
    <w:pitch w:val="default"/>
    <w:sig w:usb0="00000000" w:usb1="00000000" w:usb2="00000000" w:usb3="00000000" w:csb0="0000019F" w:csb1="00000000"/>
  </w:font>
  <w:font w:name="ＭＳ 明朝">
    <w:altName w:val="Hiragino Sans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Hiragino San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ＭＳ ゴシック">
    <w:altName w:val="Hiragino Sans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Courier">
    <w:altName w:val="苹方-简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ＭＳ ゴシック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6DF3A4">
    <w:pPr>
      <w:pStyle w:val="24"/>
      <w:jc w:val="right"/>
    </w:pPr>
    <w:r>
      <w:t xml:space="preserve">第 </w:t>
    </w:r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 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83" w:lineRule="auto"/>
      </w:pPr>
      <w:r>
        <w:separator/>
      </w:r>
    </w:p>
  </w:footnote>
  <w:footnote w:type="continuationSeparator" w:id="1">
    <w:p>
      <w:pPr>
        <w:spacing w:before="0" w:after="0" w:line="283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3FDDA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40" w:line="283" w:lineRule="auto"/>
    </w:pPr>
    <w:rPr>
      <w:rFonts w:ascii="Arial Unicode MS" w:hAnsi="Arial Unicode MS" w:eastAsia="Arial Unicode MS" w:cstheme="minorBidi"/>
      <w:color w:val="000000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160" w:after="120"/>
      <w:outlineLvl w:val="0"/>
    </w:pPr>
    <w:rPr>
      <w:rFonts w:ascii="Arial Unicode MS" w:hAnsi="Arial Unicode MS" w:eastAsia="Arial Unicode MS" w:cstheme="majorBidi"/>
      <w:b/>
      <w:bCs/>
      <w:color w:val="000000"/>
      <w:sz w:val="26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160" w:after="120"/>
      <w:outlineLvl w:val="1"/>
    </w:pPr>
    <w:rPr>
      <w:rFonts w:ascii="Arial Unicode MS" w:hAnsi="Arial Unicode MS" w:eastAsia="Arial Unicode MS" w:cstheme="majorBidi"/>
      <w:b/>
      <w:bCs/>
      <w:color w:val="000000"/>
      <w:sz w:val="23"/>
      <w:szCs w:val="26"/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="Arial Unicode MS" w:hAnsi="Arial Unicode MS" w:eastAsia="Arial Unicode MS" w:cstheme="majorBidi"/>
      <w:b/>
      <w:bCs/>
      <w:color w:val="000000"/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="Arial Unicode MS" w:hAnsi="Arial Unicode MS" w:eastAsia="Arial Unicode MS" w:cstheme="majorBidi"/>
      <w:b/>
      <w:bCs/>
      <w:i/>
      <w:iCs/>
      <w:color w:val="000000"/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="Arial Unicode MS" w:hAnsi="Arial Unicode MS" w:eastAsia="Arial Unicode MS" w:cstheme="majorBidi"/>
      <w:color w:val="00000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="Arial Unicode MS" w:hAnsi="Arial Unicode MS" w:eastAsia="Arial Unicode MS" w:cstheme="majorBidi"/>
      <w:i/>
      <w:iCs/>
      <w:color w:val="00000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="Arial Unicode MS" w:hAnsi="Arial Unicode MS" w:eastAsia="Arial Unicode MS" w:cstheme="majorBidi"/>
      <w:i/>
      <w:iCs/>
      <w:color w:val="000000"/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="Arial Unicode MS" w:hAnsi="Arial Unicode MS" w:eastAsia="Arial Unicode MS" w:cstheme="majorBidi"/>
      <w:color w:val="000000"/>
      <w:sz w:val="20"/>
      <w:szCs w:val="20"/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="Arial Unicode MS" w:hAnsi="Arial Unicode MS" w:eastAsia="Arial Unicode MS" w:cstheme="majorBidi"/>
      <w:i/>
      <w:iCs/>
      <w:color w:val="000000"/>
      <w:sz w:val="20"/>
      <w:szCs w:val="20"/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Arial Unicode MS" w:hAnsi="Arial Unicode MS" w:eastAsia="Arial Unicode MS" w:cstheme="minorBidi"/>
      <w:color w:val="000000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  <w:rPr>
      <w:rFonts w:ascii="Arial Unicode MS" w:hAnsi="Arial Unicode MS" w:eastAsia="Arial Unicode MS"/>
      <w:color w:val="000000"/>
    </w:r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  <w:rPr>
      <w:rFonts w:ascii="Arial Unicode MS" w:hAnsi="Arial Unicode MS" w:eastAsia="Arial Unicode MS"/>
      <w:color w:val="000000"/>
    </w:r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  <w:rPr>
      <w:rFonts w:ascii="Arial Unicode MS" w:hAnsi="Arial Unicode MS" w:eastAsia="Arial Unicode MS"/>
      <w:color w:val="000000"/>
    </w:r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rFonts w:ascii="Arial Unicode MS" w:hAnsi="Arial Unicode MS" w:eastAsia="Arial Unicode MS"/>
      <w:b/>
      <w:bCs/>
      <w:color w:val="000000"/>
      <w:sz w:val="18"/>
      <w:szCs w:val="18"/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  <w:rPr>
      <w:rFonts w:ascii="Arial Unicode MS" w:hAnsi="Arial Unicode MS" w:eastAsia="Arial Unicode MS"/>
      <w:color w:val="000000"/>
    </w:r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rFonts w:ascii="Arial Unicode MS" w:hAnsi="Arial Unicode MS" w:eastAsia="Arial Unicode MS"/>
      <w:color w:val="000000"/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  <w:rPr>
      <w:rFonts w:ascii="Arial Unicode MS" w:hAnsi="Arial Unicode MS" w:eastAsia="Arial Unicode MS"/>
      <w:color w:val="000000"/>
    </w:rPr>
  </w:style>
  <w:style w:type="paragraph" w:styleId="19">
    <w:name w:val="Body Text"/>
    <w:basedOn w:val="1"/>
    <w:link w:val="144"/>
    <w:unhideWhenUsed/>
    <w:uiPriority w:val="99"/>
    <w:pPr>
      <w:spacing w:after="120"/>
    </w:pPr>
    <w:rPr>
      <w:rFonts w:ascii="Arial Unicode MS" w:hAnsi="Arial Unicode MS" w:eastAsia="Arial Unicode MS"/>
      <w:color w:val="000000"/>
    </w:r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  <w:rPr>
      <w:rFonts w:ascii="Arial Unicode MS" w:hAnsi="Arial Unicode MS" w:eastAsia="Arial Unicode MS"/>
      <w:color w:val="000000"/>
    </w:rPr>
  </w:style>
  <w:style w:type="paragraph" w:styleId="21">
    <w:name w:val="List 2"/>
    <w:basedOn w:val="1"/>
    <w:unhideWhenUsed/>
    <w:uiPriority w:val="99"/>
    <w:pPr>
      <w:ind w:left="720" w:hanging="360"/>
      <w:contextualSpacing/>
    </w:pPr>
    <w:rPr>
      <w:rFonts w:ascii="Arial Unicode MS" w:hAnsi="Arial Unicode MS" w:eastAsia="Arial Unicode MS"/>
      <w:color w:val="000000"/>
    </w:r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  <w:rPr>
      <w:rFonts w:ascii="Arial Unicode MS" w:hAnsi="Arial Unicode MS" w:eastAsia="Arial Unicode MS"/>
      <w:color w:val="000000"/>
    </w:r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  <w:rPr>
      <w:rFonts w:ascii="Arial Unicode MS" w:hAnsi="Arial Unicode MS" w:eastAsia="Arial Unicode MS"/>
      <w:color w:val="000000"/>
    </w:r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="Arial Unicode MS" w:hAnsi="Arial Unicode MS" w:eastAsia="Arial Unicode MS"/>
      <w:color w:val="000000"/>
    </w:r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="Arial Unicode MS" w:hAnsi="Arial Unicode MS" w:eastAsia="Arial Unicode MS"/>
      <w:color w:val="000000"/>
    </w:rPr>
  </w:style>
  <w:style w:type="paragraph" w:styleId="26">
    <w:name w:val="Subtitle"/>
    <w:basedOn w:val="1"/>
    <w:next w:val="1"/>
    <w:link w:val="142"/>
    <w:qFormat/>
    <w:uiPriority w:val="11"/>
    <w:rPr>
      <w:rFonts w:ascii="Arial Unicode MS" w:hAnsi="Arial Unicode MS" w:eastAsia="Arial Unicode MS" w:cstheme="majorBidi"/>
      <w:i/>
      <w:iCs/>
      <w:color w:val="000000"/>
      <w:spacing w:val="15"/>
      <w:sz w:val="24"/>
      <w:szCs w:val="24"/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  <w:rPr>
      <w:rFonts w:ascii="Arial Unicode MS" w:hAnsi="Arial Unicode MS" w:eastAsia="Arial Unicode MS"/>
      <w:color w:val="000000"/>
    </w:r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  <w:rPr>
      <w:rFonts w:ascii="Arial Unicode MS" w:hAnsi="Arial Unicode MS" w:eastAsia="Arial Unicode MS"/>
      <w:color w:val="000000"/>
    </w:r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  <w:rPr>
      <w:rFonts w:ascii="Arial Unicode MS" w:hAnsi="Arial Unicode MS" w:eastAsia="Arial Unicode MS"/>
      <w:color w:val="000000"/>
    </w:r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  <w:rPr>
      <w:rFonts w:ascii="Arial Unicode MS" w:hAnsi="Arial Unicode MS" w:eastAsia="Arial Unicode MS"/>
      <w:color w:val="000000"/>
    </w:rPr>
  </w:style>
  <w:style w:type="paragraph" w:styleId="31">
    <w:name w:val="Title"/>
    <w:basedOn w:val="1"/>
    <w:next w:val="1"/>
    <w:link w:val="141"/>
    <w:qFormat/>
    <w:uiPriority w:val="10"/>
    <w:pPr>
      <w:spacing w:before="160" w:after="120" w:line="240" w:lineRule="auto"/>
      <w:contextualSpacing/>
    </w:pPr>
    <w:rPr>
      <w:rFonts w:ascii="Arial Unicode MS" w:hAnsi="Arial Unicode MS" w:eastAsia="Arial Unicode MS" w:cstheme="majorBidi"/>
      <w:color w:val="000000"/>
      <w:spacing w:val="5"/>
      <w:kern w:val="28"/>
      <w:sz w:val="38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="Arial Unicode MS" w:hAnsi="Arial Unicode MS" w:eastAsia="Arial Unicode MS" w:cstheme="minorBidi"/>
      <w:color w:val="000000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  <w:rPr>
      <w:rFonts w:ascii="Arial Unicode MS" w:hAnsi="Arial Unicode MS" w:eastAsia="Arial Unicode MS"/>
      <w:color w:val="000000"/>
    </w:r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rFonts w:ascii="Arial Unicode MS" w:hAnsi="Arial Unicode MS" w:eastAsia="Arial Unicode MS"/>
      <w:i/>
      <w:iCs/>
      <w:color w:val="000000"/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spacing w:before="200" w:after="280"/>
      <w:ind w:left="936" w:right="936"/>
    </w:pPr>
    <w:rPr>
      <w:rFonts w:ascii="Arial Unicode MS" w:hAnsi="Arial Unicode MS" w:eastAsia="Arial Unicode MS"/>
      <w:b/>
      <w:bCs/>
      <w:i/>
      <w:iCs/>
      <w:color w:val="000000"/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  <w:rPr>
      <w:rFonts w:ascii="Arial Unicode MS" w:hAnsi="Arial Unicode MS" w:eastAsia="Arial Unicode MS"/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tyleName="APA" SelectedStyle="/APA.XSL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Office_12.1.28492.28492_F1E327BC-269C-435d-A152-05C5408002CA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2013-12-24T07:15:00Z</dcterms:created>
  <dc:creator>python-docx</dc:creator>
  <dc:description>generated by python-docx</dc:description>
  <cp:lastModifiedBy>janice</cp:lastModifiedBy>
  <dcterms:modified xsi:type="dcterms:W3CDTF">2026-09-18T09:30:45Z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2052-12.1.28492.28492</vt:lpwstr>
  </property>
  <property fmtid="{D5CDD505-2E9C-101B-9397-08002B2CF9AE}" pid="3" name="ICV">
    <vt:lpwstr>AA985F4C0CF3B8154594AC6A14CAE41B_42</vt:lpwstr>
  </property>
</Properties>
</file>