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A0251">
      <w:pPr>
        <w:pStyle w:val="31"/>
        <w:jc w:val="center"/>
      </w:pPr>
      <w:r>
        <w:t>纳米纤维素TEM透射电子显微镜</w:t>
      </w:r>
    </w:p>
    <w:p w14:paraId="5CFB04EB">
      <w:pPr>
        <w:pStyle w:val="31"/>
        <w:jc w:val="center"/>
      </w:pPr>
      <w:r>
        <w:t>制样方法与常见问题解决办法</w:t>
      </w:r>
    </w:p>
    <w:p w14:paraId="2ECB91EA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3BE704A7">
      <w:pPr>
        <w:pStyle w:val="3"/>
      </w:pPr>
      <w:r>
        <w:t>一 制样前准备</w:t>
      </w:r>
    </w:p>
    <w:p w14:paraId="5298E3DB">
      <w:r>
        <w:rPr>
          <w:b/>
        </w:rPr>
        <w:t xml:space="preserve">用品  </w:t>
      </w:r>
      <w:r>
        <w:t>碳支持膜铜网、洁净镊子、移液器、滤纸、网盒；染色剂和载网处理由平台确认。</w:t>
      </w:r>
    </w:p>
    <w:p w14:paraId="143C3E82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6F925176">
      <w:pPr>
        <w:pStyle w:val="3"/>
      </w:pPr>
      <w:r>
        <w:t>二 制样与上机步骤</w:t>
      </w:r>
    </w:p>
    <w:p w14:paraId="71AB7093">
      <w:r>
        <w:rPr>
          <w:b/>
        </w:rPr>
        <w:t xml:space="preserve">1 取样与预处理  </w:t>
      </w:r>
      <w:r>
        <w:t>以同一母液做两档稀释，充分轻混匀后立即取样。若有强团聚，先确认是否允许温和超声，并保留未超声对照；不以过滤随意去除大颗粒，否则会改变尺寸分布。</w:t>
      </w:r>
    </w:p>
    <w:p w14:paraId="6460BE34">
      <w:r>
        <w:rPr>
          <w:b/>
        </w:rPr>
        <w:t xml:space="preserve">2 稀释与上网  </w:t>
      </w:r>
      <w:r>
        <w:t>先试0.001%～0.01%分散液；取5～10 μL滴在亲水化的碳支持膜铜网上，吸附约30～60秒，用滤纸从边缘吸走余液，勿触碰载膜。</w:t>
      </w:r>
    </w:p>
    <w:p w14:paraId="0D050A0D">
      <w:r>
        <w:rPr>
          <w:b/>
        </w:rPr>
        <w:t xml:space="preserve">3 增强对比  </w:t>
      </w:r>
      <w:r>
        <w:t>先做未染色对照；对比度不足时由平台选用适宜负染剂。染色时间、pH需预试，随后充分干燥并防尘保存；含铀染剂仅由具备条件的平台操作。</w:t>
      </w:r>
    </w:p>
    <w:p w14:paraId="052B76D2">
      <w:r>
        <w:rPr>
          <w:b/>
        </w:rPr>
        <w:t xml:space="preserve">4 采图与统计  </w:t>
      </w:r>
      <w:r>
        <w:t>低剂量寻找独立颗粒，拍摄多个随机视野；测量边界清晰颗粒的长度和投影宽度，注明统计数量。</w:t>
      </w:r>
    </w:p>
    <w:p w14:paraId="45C6E179">
      <w:r>
        <w:rPr>
          <w:b/>
        </w:rPr>
        <w:t xml:space="preserve">5 保存与交接  </w:t>
      </w:r>
      <w:r>
        <w:t>在铜网边缘做标识，制备后放入洁净网盒。染色需有空白网和未染样对照；选择经平台验证、与样品相容的染剂，不默认任何染剂适</w:t>
      </w:r>
      <w:bookmarkStart w:id="0" w:name="_GoBack"/>
      <w:bookmarkEnd w:id="0"/>
      <w:r>
        <w:t>合所有表面改性样品。</w:t>
      </w:r>
    </w:p>
    <w:p w14:paraId="1C726712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三 常见问题与解决办法</w:t>
      </w:r>
    </w:p>
    <w:p w14:paraId="019EE896">
      <w:pPr>
        <w:pStyle w:val="4"/>
      </w:pPr>
      <w:r>
        <w:t>1 颗粒重叠无法量尺寸</w:t>
      </w:r>
    </w:p>
    <w:p w14:paraId="699724C6">
      <w:r>
        <w:t>将浓度降低约一个数量级作对照，或缩短吸附时间；仍重叠时检查原液团聚，不强行拆分图像中的纤维束。</w:t>
      </w:r>
    </w:p>
    <w:p w14:paraId="7EC3E1DA">
      <w:pPr>
        <w:pStyle w:val="4"/>
      </w:pPr>
      <w:r>
        <w:t>2 背景很亮而颗粒不明显</w:t>
      </w:r>
    </w:p>
    <w:p w14:paraId="010583AA">
      <w:r>
        <w:t>检查载膜、聚焦及对比条件；可选经验证的负染方案，比较未染色和染色结果，防止染色改变轮廓。</w:t>
      </w:r>
    </w:p>
    <w:p w14:paraId="6BEF1B54">
      <w:pPr>
        <w:pStyle w:val="4"/>
      </w:pPr>
      <w:r>
        <w:t>3 出现盐晶或染色斑块</w:t>
      </w:r>
    </w:p>
    <w:p w14:paraId="2813F2AC">
      <w:r>
        <w:t>先拍空白网判断来源；检查介质盐分和染液状态。必要时另取样脱盐，但须记录脱盐过程并保留原样对照。</w:t>
      </w:r>
    </w:p>
    <w:p w14:paraId="29E56EE2">
      <w:pPr>
        <w:pStyle w:val="4"/>
      </w:pPr>
      <w:r>
        <w:t>4 样品逐渐变形或破损</w:t>
      </w:r>
    </w:p>
    <w:p w14:paraId="4ABB843F">
      <w:r>
        <w:t>降低电子剂量、缩短曝光和停留时间，在新区域重新取图；检查载膜破损或污染。</w:t>
      </w:r>
    </w:p>
    <w:p w14:paraId="160E5653">
      <w:pPr>
        <w:pStyle w:val="3"/>
      </w:pPr>
      <w:r>
        <w:t>四 结果检查与记录</w:t>
      </w:r>
    </w:p>
    <w:p w14:paraId="1FE8E44D">
      <w:r>
        <w:t>建议先在至少3个随机视野试拍，能辨认独立边界后再统计。尺寸统计可将不少于100个可辨认颗粒作为初始目标，并报告实际数量、选取规则与分布。</w:t>
      </w:r>
    </w:p>
    <w:p w14:paraId="4F4145D2">
      <w:r>
        <w:rPr>
          <w:b/>
        </w:rPr>
        <w:t xml:space="preserve">复测原则  </w:t>
      </w:r>
      <w:r>
        <w:t>先排查制样、空白与仪器条件，每轮只改变一个主要变量。复测时保留原始数据和异常记录。</w:t>
      </w:r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25C5BB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FEDB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447C185CB39C7FED9E93AC6AA072DED4_42</vt:lpwstr>
  </property>
</Properties>
</file>