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C6903">
      <w:pPr>
        <w:pStyle w:val="3"/>
      </w:pPr>
      <w:r>
        <w:t>12. 硫酸酯化纤维素纳米纤维（磺酸基CNF）</w:t>
      </w:r>
    </w:p>
    <w:p w14:paraId="2C75FDB2">
      <w:r>
        <w:rPr>
          <w:i/>
        </w:rPr>
        <w:t>Sulfated Cellulose Nanofibrils</w:t>
      </w:r>
    </w:p>
    <w:p w14:paraId="51FAC2BF">
      <w:pPr>
        <w:pStyle w:val="4"/>
      </w:pPr>
      <w:r>
        <w:t>产品介绍</w:t>
      </w:r>
    </w:p>
    <w:p w14:paraId="5353F1B7">
      <w:r>
        <w:t>将CNF高长径比网络与硫酸酯阴离子表面结合，可用于水相分散、流变、功能膜和界面复合研究。 赛路生物 CelluBio 可面向科研及企业研发提供材料选型与小试参考。</w:t>
      </w:r>
    </w:p>
    <w:p w14:paraId="56E0CACF">
      <w:pPr>
        <w:pStyle w:val="4"/>
      </w:pPr>
      <w:r>
        <w:t>产品基本信息</w:t>
      </w:r>
    </w:p>
    <w:tbl>
      <w:tblPr>
        <w:tblStyle w:val="3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3"/>
        <w:gridCol w:w="5043"/>
      </w:tblGrid>
      <w:tr w14:paraId="1A7F87C4">
        <w:trPr>
          <w:jc w:val="center"/>
        </w:trPr>
        <w:tc>
          <w:tcPr>
            <w:tcW w:w="5043" w:type="dxa"/>
            <w:shd w:val="clear" w:color="auto" w:fill="3A7D44"/>
            <w:vAlign w:val="center"/>
          </w:tcPr>
          <w:p w14:paraId="3AE66A2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FFFFFF"/>
                <w:sz w:val="19"/>
              </w:rPr>
              <w:t>项目</w:t>
            </w:r>
          </w:p>
        </w:tc>
        <w:tc>
          <w:tcPr>
            <w:tcW w:w="5043" w:type="dxa"/>
            <w:shd w:val="clear" w:color="auto" w:fill="3A7D44"/>
            <w:vAlign w:val="center"/>
          </w:tcPr>
          <w:p w14:paraId="02CCA68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FFFFFF"/>
                <w:sz w:val="19"/>
              </w:rPr>
              <w:t>信息</w:t>
            </w:r>
          </w:p>
        </w:tc>
      </w:tr>
      <w:tr w14:paraId="5EC58961">
        <w:trPr>
          <w:jc w:val="center"/>
        </w:trPr>
        <w:tc>
          <w:tcPr>
            <w:tcW w:w="5043" w:type="dxa"/>
            <w:shd w:val="clear" w:color="auto" w:fill="EAF3E8"/>
            <w:vAlign w:val="center"/>
          </w:tcPr>
          <w:p w14:paraId="7D20C60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产品名称</w:t>
            </w:r>
          </w:p>
        </w:tc>
        <w:tc>
          <w:tcPr>
            <w:tcW w:w="5043" w:type="dxa"/>
            <w:vAlign w:val="center"/>
          </w:tcPr>
          <w:p w14:paraId="491D7C3F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硫酸酯化纤维素纳米纤维（磺酸基CNF）</w:t>
            </w:r>
          </w:p>
        </w:tc>
      </w:tr>
      <w:tr w14:paraId="24686897">
        <w:trPr>
          <w:jc w:val="center"/>
        </w:trPr>
        <w:tc>
          <w:tcPr>
            <w:tcW w:w="5043" w:type="dxa"/>
            <w:shd w:val="clear" w:color="auto" w:fill="EAF3E8"/>
            <w:vAlign w:val="center"/>
          </w:tcPr>
          <w:p w14:paraId="7FB3F96B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英文名称</w:t>
            </w:r>
          </w:p>
        </w:tc>
        <w:tc>
          <w:tcPr>
            <w:tcW w:w="5043" w:type="dxa"/>
            <w:vAlign w:val="center"/>
          </w:tcPr>
          <w:p w14:paraId="3CD3D59A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Sulfated Cellulose Nanofibrils</w:t>
            </w:r>
          </w:p>
        </w:tc>
      </w:tr>
      <w:tr w14:paraId="29B37E0A">
        <w:trPr>
          <w:jc w:val="center"/>
        </w:trPr>
        <w:tc>
          <w:tcPr>
            <w:tcW w:w="5043" w:type="dxa"/>
            <w:shd w:val="clear" w:color="auto" w:fill="EAF3E8"/>
            <w:vAlign w:val="center"/>
          </w:tcPr>
          <w:p w14:paraId="25935E87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缩写</w:t>
            </w:r>
          </w:p>
        </w:tc>
        <w:tc>
          <w:tcPr>
            <w:tcW w:w="5043" w:type="dxa"/>
            <w:vAlign w:val="center"/>
          </w:tcPr>
          <w:p w14:paraId="0881D23D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S-CNF</w:t>
            </w:r>
          </w:p>
        </w:tc>
      </w:tr>
      <w:tr w14:paraId="6684F712">
        <w:trPr>
          <w:jc w:val="center"/>
        </w:trPr>
        <w:tc>
          <w:tcPr>
            <w:tcW w:w="5043" w:type="dxa"/>
            <w:shd w:val="clear" w:color="auto" w:fill="EAF3E8"/>
            <w:vAlign w:val="center"/>
          </w:tcPr>
          <w:p w14:paraId="79D71B9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表面基团</w:t>
            </w:r>
          </w:p>
        </w:tc>
        <w:tc>
          <w:tcPr>
            <w:tcW w:w="5043" w:type="dxa"/>
            <w:vAlign w:val="center"/>
          </w:tcPr>
          <w:p w14:paraId="25FD7D0A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–OH、–OSO₃H / –OSO₃⁻</w:t>
            </w:r>
          </w:p>
        </w:tc>
      </w:tr>
      <w:tr w14:paraId="205367E1">
        <w:trPr>
          <w:jc w:val="center"/>
        </w:trPr>
        <w:tc>
          <w:tcPr>
            <w:tcW w:w="5043" w:type="dxa"/>
            <w:shd w:val="clear" w:color="auto" w:fill="EAF3E8"/>
            <w:vAlign w:val="center"/>
          </w:tcPr>
          <w:p w14:paraId="5EF737E8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产品形态</w:t>
            </w:r>
          </w:p>
        </w:tc>
        <w:tc>
          <w:tcPr>
            <w:tcW w:w="5043" w:type="dxa"/>
            <w:vAlign w:val="center"/>
          </w:tcPr>
          <w:p w14:paraId="711FE264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水分散液 / 凝胶</w:t>
            </w:r>
          </w:p>
        </w:tc>
      </w:tr>
      <w:tr w14:paraId="1DD11892">
        <w:trPr>
          <w:jc w:val="center"/>
        </w:trPr>
        <w:tc>
          <w:tcPr>
            <w:tcW w:w="5043" w:type="dxa"/>
            <w:shd w:val="clear" w:color="auto" w:fill="EAF3E8"/>
            <w:vAlign w:val="center"/>
          </w:tcPr>
          <w:p w14:paraId="775B0BE4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原料来源</w:t>
            </w:r>
          </w:p>
        </w:tc>
        <w:tc>
          <w:tcPr>
            <w:tcW w:w="5043" w:type="dxa"/>
            <w:vAlign w:val="center"/>
          </w:tcPr>
          <w:p w14:paraId="5C923BE5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植物源纤维素</w:t>
            </w:r>
          </w:p>
        </w:tc>
      </w:tr>
      <w:tr w14:paraId="22E5075F">
        <w:trPr>
          <w:jc w:val="center"/>
        </w:trPr>
        <w:tc>
          <w:tcPr>
            <w:tcW w:w="5043" w:type="dxa"/>
            <w:shd w:val="clear" w:color="auto" w:fill="EAF3E8"/>
            <w:vAlign w:val="center"/>
          </w:tcPr>
          <w:p w14:paraId="48F04B4C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表面电性</w:t>
            </w:r>
          </w:p>
        </w:tc>
        <w:tc>
          <w:tcPr>
            <w:tcW w:w="5043" w:type="dxa"/>
            <w:vAlign w:val="center"/>
          </w:tcPr>
          <w:p w14:paraId="03BBC119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阴离子型</w:t>
            </w:r>
          </w:p>
        </w:tc>
      </w:tr>
    </w:tbl>
    <w:p w14:paraId="4734CEB4">
      <w:pPr>
        <w:pStyle w:val="4"/>
      </w:pPr>
      <w:r>
        <w:t>产品技术参数</w:t>
      </w: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3"/>
        <w:gridCol w:w="5043"/>
      </w:tblGrid>
      <w:tr w14:paraId="413040ED">
        <w:tc>
          <w:tcPr>
            <w:tcW w:w="5043" w:type="dxa"/>
            <w:shd w:val="clear" w:color="auto" w:fill="3A7D44"/>
            <w:vAlign w:val="center"/>
          </w:tcPr>
          <w:p w14:paraId="06412CE8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FFFFFF"/>
                <w:sz w:val="19"/>
              </w:rPr>
              <w:t>参数</w:t>
            </w:r>
          </w:p>
        </w:tc>
        <w:tc>
          <w:tcPr>
            <w:tcW w:w="5043" w:type="dxa"/>
            <w:shd w:val="clear" w:color="auto" w:fill="3A7D44"/>
            <w:vAlign w:val="center"/>
          </w:tcPr>
          <w:p w14:paraId="075A1D6B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FFFFFF"/>
                <w:sz w:val="19"/>
              </w:rPr>
              <w:t>建议填写</w:t>
            </w:r>
          </w:p>
        </w:tc>
      </w:tr>
      <w:tr w14:paraId="6742F3A0">
        <w:tc>
          <w:tcPr>
            <w:tcW w:w="5043" w:type="dxa"/>
            <w:shd w:val="clear" w:color="auto" w:fill="EAF3E8"/>
            <w:vAlign w:val="center"/>
          </w:tcPr>
          <w:p w14:paraId="674ED25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外观</w:t>
            </w:r>
          </w:p>
        </w:tc>
        <w:tc>
          <w:tcPr>
            <w:tcW w:w="5043" w:type="dxa"/>
            <w:vAlign w:val="center"/>
          </w:tcPr>
          <w:p w14:paraId="7648DA84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按具体型号/批次填写</w:t>
            </w:r>
          </w:p>
        </w:tc>
      </w:tr>
      <w:tr w14:paraId="5252FEB8">
        <w:tc>
          <w:tcPr>
            <w:tcW w:w="5043" w:type="dxa"/>
            <w:shd w:val="clear" w:color="auto" w:fill="EAF3E8"/>
            <w:vAlign w:val="center"/>
          </w:tcPr>
          <w:p w14:paraId="0176BA3E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固含量</w:t>
            </w:r>
          </w:p>
        </w:tc>
        <w:tc>
          <w:tcPr>
            <w:tcW w:w="5043" w:type="dxa"/>
            <w:vAlign w:val="center"/>
          </w:tcPr>
          <w:p w14:paraId="05094EC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按具体型号/COA填写</w:t>
            </w:r>
          </w:p>
        </w:tc>
      </w:tr>
      <w:tr w14:paraId="0D5F571F">
        <w:tc>
          <w:tcPr>
            <w:tcW w:w="5043" w:type="dxa"/>
            <w:shd w:val="clear" w:color="auto" w:fill="EAF3E8"/>
            <w:vAlign w:val="center"/>
          </w:tcPr>
          <w:p w14:paraId="50E1447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直径</w:t>
            </w:r>
          </w:p>
        </w:tc>
        <w:tc>
          <w:tcPr>
            <w:tcW w:w="5043" w:type="dxa"/>
            <w:vAlign w:val="center"/>
          </w:tcPr>
          <w:p w14:paraId="1788F64A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按TEM/AFM实测范围填写</w:t>
            </w:r>
          </w:p>
        </w:tc>
      </w:tr>
      <w:tr w14:paraId="2D4E572D">
        <w:tc>
          <w:tcPr>
            <w:tcW w:w="5043" w:type="dxa"/>
            <w:shd w:val="clear" w:color="auto" w:fill="EAF3E8"/>
            <w:vAlign w:val="center"/>
          </w:tcPr>
          <w:p w14:paraId="7E236911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长度</w:t>
            </w:r>
          </w:p>
        </w:tc>
        <w:tc>
          <w:tcPr>
            <w:tcW w:w="5043" w:type="dxa"/>
            <w:vAlign w:val="center"/>
          </w:tcPr>
          <w:p w14:paraId="43B1A592">
            <w:pPr>
              <w:pStyle w:val="30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</w:pPr>
            <w:r>
              <w:rPr>
                <w:rFonts w:ascii="微软雅黑" w:hAnsi="微软雅黑" w:eastAsia="微软雅黑" w:cstheme="minorBidi"/>
                <w:b w:val="0"/>
                <w:sz w:val="19"/>
                <w:szCs w:val="22"/>
                <w:lang w:val="en-US" w:eastAsia="en-US" w:bidi="ar-SA"/>
              </w:rPr>
              <w:t>μm</w:t>
            </w:r>
          </w:p>
        </w:tc>
      </w:tr>
      <w:tr w14:paraId="5FE5156B">
        <w:tc>
          <w:tcPr>
            <w:tcW w:w="5043" w:type="dxa"/>
            <w:shd w:val="clear" w:color="auto" w:fill="EAF3E8"/>
            <w:vAlign w:val="center"/>
          </w:tcPr>
          <w:p w14:paraId="06E90513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结晶度</w:t>
            </w:r>
          </w:p>
        </w:tc>
        <w:tc>
          <w:tcPr>
            <w:tcW w:w="5043" w:type="dxa"/>
            <w:vAlign w:val="center"/>
          </w:tcPr>
          <w:p w14:paraId="2EA6B121">
            <w:pPr>
              <w:pStyle w:val="30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leftChars="0" w:right="0" w:rightChars="0"/>
            </w:pPr>
            <w:r>
              <w:rPr>
                <w:rFonts w:ascii="微软雅黑" w:hAnsi="微软雅黑" w:eastAsia="微软雅黑" w:cstheme="minorBidi"/>
                <w:b w:val="0"/>
                <w:sz w:val="19"/>
                <w:szCs w:val="22"/>
                <w:lang w:val="en-US" w:eastAsia="en-US" w:bidi="ar-SA"/>
              </w:rPr>
              <w:t>≥</w:t>
            </w:r>
            <w:r>
              <w:rPr>
                <w:rFonts w:hint="eastAsia" w:cstheme="minorBidi"/>
                <w:b w:val="0"/>
                <w:sz w:val="19"/>
                <w:szCs w:val="22"/>
                <w:lang w:val="en-US" w:eastAsia="zh-CN" w:bidi="ar-SA"/>
              </w:rPr>
              <w:t>70</w:t>
            </w:r>
            <w:r>
              <w:rPr>
                <w:rFonts w:ascii="微软雅黑" w:hAnsi="微软雅黑" w:eastAsia="微软雅黑" w:cstheme="minorBidi"/>
                <w:b w:val="0"/>
                <w:sz w:val="19"/>
                <w:szCs w:val="22"/>
                <w:lang w:val="en-US" w:eastAsia="en-US" w:bidi="ar-SA"/>
              </w:rPr>
              <w:t>%</w:t>
            </w:r>
          </w:p>
        </w:tc>
      </w:tr>
      <w:tr w14:paraId="1DA1B331">
        <w:tc>
          <w:tcPr>
            <w:tcW w:w="5043" w:type="dxa"/>
            <w:shd w:val="clear" w:color="auto" w:fill="EAF3E8"/>
            <w:vAlign w:val="center"/>
          </w:tcPr>
          <w:p w14:paraId="19330DD3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基团含量</w:t>
            </w:r>
          </w:p>
        </w:tc>
        <w:tc>
          <w:tcPr>
            <w:tcW w:w="5043" w:type="dxa"/>
            <w:vAlign w:val="center"/>
          </w:tcPr>
          <w:p w14:paraId="241E573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按具体官能团及检测方法填写</w:t>
            </w:r>
          </w:p>
        </w:tc>
      </w:tr>
      <w:tr w14:paraId="1DBFEDEE">
        <w:tc>
          <w:tcPr>
            <w:tcW w:w="5043" w:type="dxa"/>
            <w:shd w:val="clear" w:color="auto" w:fill="EAF3E8"/>
            <w:vAlign w:val="center"/>
          </w:tcPr>
          <w:p w14:paraId="01C57343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pH</w:t>
            </w:r>
          </w:p>
        </w:tc>
        <w:tc>
          <w:tcPr>
            <w:tcW w:w="5043" w:type="dxa"/>
            <w:vAlign w:val="center"/>
          </w:tcPr>
          <w:p w14:paraId="34A96A62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按水分散液实测填写</w:t>
            </w:r>
          </w:p>
        </w:tc>
      </w:tr>
      <w:tr w14:paraId="6F111305">
        <w:tc>
          <w:tcPr>
            <w:tcW w:w="5043" w:type="dxa"/>
            <w:shd w:val="clear" w:color="auto" w:fill="EAF3E8"/>
            <w:vAlign w:val="center"/>
          </w:tcPr>
          <w:p w14:paraId="057566E4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19"/>
              </w:rPr>
              <w:t>分散介质</w:t>
            </w:r>
          </w:p>
        </w:tc>
        <w:tc>
          <w:tcPr>
            <w:tcW w:w="5043" w:type="dxa"/>
            <w:vAlign w:val="center"/>
          </w:tcPr>
          <w:p w14:paraId="1C752742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19"/>
              </w:rPr>
              <w:t>去离子水或具体供应介质</w:t>
            </w:r>
          </w:p>
        </w:tc>
      </w:tr>
    </w:tbl>
    <w:p w14:paraId="17801DBC">
      <w:pPr>
        <w:pStyle w:val="4"/>
      </w:pPr>
      <w:r>
        <w:t>推荐应用领域</w:t>
      </w:r>
    </w:p>
    <w:p w14:paraId="15E401A5">
      <w:r>
        <w:t>功能膜；水凝胶；涂层；流变调节；复合材料；界面研究</w:t>
      </w:r>
    </w:p>
    <w:p w14:paraId="4274E628">
      <w:pPr>
        <w:pStyle w:val="4"/>
      </w:pPr>
      <w:r>
        <w:t>应用方法（小试卡参考）</w:t>
      </w:r>
    </w:p>
    <w:p w14:paraId="6E5BA008">
      <w:pPr>
        <w:pStyle w:val="30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b/>
          <w:bCs/>
        </w:rPr>
        <w:t>推荐添加量</w:t>
      </w:r>
      <w:r>
        <w:br w:type="textWrapping"/>
      </w:r>
      <w:r>
        <w:t xml:space="preserve">建议从 </w:t>
      </w:r>
      <w:r>
        <w:rPr>
          <w:b/>
          <w:bCs/>
        </w:rPr>
        <w:t>0.1–1 wt%</w:t>
      </w:r>
      <w:r>
        <w:t xml:space="preserve"> 开始筛选。</w:t>
      </w:r>
    </w:p>
    <w:p w14:paraId="0CDDD7BD">
      <w:pPr>
        <w:pStyle w:val="30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b/>
          <w:bCs/>
        </w:rPr>
        <w:t>加入方法</w:t>
      </w:r>
    </w:p>
    <w:p w14:paraId="38679721">
      <w:pPr>
        <w:pStyle w:val="30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br w:type="textWrapping"/>
      </w:r>
      <w:r>
        <w:t>先在水相中均匀分散，再逐步加入聚合物、涂层或凝胶体系。</w:t>
      </w:r>
    </w:p>
    <w:p w14:paraId="5C348420">
      <w:pPr>
        <w:pStyle w:val="30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b/>
          <w:bCs/>
        </w:rPr>
        <w:t>分散方法</w:t>
      </w:r>
      <w:r>
        <w:br w:type="textWrapping"/>
      </w:r>
      <w:r>
        <w:t>机械搅拌为主，高黏体系可采用高速剪切。</w:t>
      </w:r>
    </w:p>
    <w:p w14:paraId="2E1DBA6B">
      <w:pPr>
        <w:pStyle w:val="30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b/>
          <w:bCs/>
        </w:rPr>
        <w:t>使用注意</w:t>
      </w:r>
      <w:r>
        <w:br w:type="textWrapping"/>
      </w:r>
      <w:r>
        <w:t>硫酸酯基赋予材料阴离子特征，应关注盐浓度、pH及阳离子组分引起的絮凝风险。</w:t>
      </w:r>
    </w:p>
    <w:p w14:paraId="6F834C45">
      <w:pPr>
        <w:pStyle w:val="30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b/>
          <w:bCs/>
        </w:rPr>
        <w:t>小试建议</w:t>
      </w:r>
      <w:r>
        <w:br w:type="textWrapping"/>
      </w:r>
      <w:r>
        <w:t>建议比较添加量对黏度、网络结构、成膜和稳定性的影响。</w:t>
      </w:r>
    </w:p>
    <w:p w14:paraId="2D77D217">
      <w:pPr>
        <w:pStyle w:val="4"/>
      </w:pPr>
      <w:r>
        <w:t>包装与运输</w:t>
      </w:r>
    </w:p>
    <w:p w14:paraId="2580AA3A">
      <w:r>
        <w:t>支持克级小样、公斤级试样及吨级以上批量供货，满足科研测试、中试验证及工业化应用等不同阶段的采购需求。</w:t>
      </w:r>
    </w:p>
    <w:p w14:paraId="40C78658">
      <w:r>
        <w:t>小样采用密封包装，国内优先采用顺丰发货；公斤级及以上产品根据产品形态和采购数量采用桶装、大桶或吨桶包装，并匹配适宜的物流运输方式。</w:t>
      </w:r>
    </w:p>
    <w:p w14:paraId="346E6320">
      <w:r>
        <w:rPr>
          <w:b/>
          <w:color w:val="3A7D44"/>
        </w:rPr>
        <w:t>从小样测试到批量采购，灵活供应。</w:t>
      </w:r>
    </w:p>
    <w:p w14:paraId="10B278E3">
      <w:pPr>
        <w:pStyle w:val="4"/>
      </w:pPr>
      <w:r>
        <w:t>FAQ</w:t>
      </w:r>
    </w:p>
    <w:p>
      <w:r>
        <w:t>【科研常搜】Q：CNF 和另一类纳米纤维素在结构与应用上有什么区别？</w:t>
        <w:br/>
        <w:t>A：CNF的形貌、长径比和网络形成能力与其他纳米纤维素不同，选型应结合尺寸、表面基团、分散介质和目标性能。</w:t>
      </w:r>
    </w:p>
    <w:p>
      <w:r>
        <w:t>【科研常搜】Q：CNF 为什么容易团聚？应该怎样分散？</w:t>
        <w:br/>
        <w:t>A：纳米纤维素比表面积高、表面作用强，局部浓度过高或离子环境变化时容易团聚。建议预稀释、缓慢加入，并按体系选择搅拌、剪切或适度超声。</w:t>
      </w:r>
    </w:p>
    <w:p>
      <w:r>
        <w:t>【应用客户常搜】Q：CNF 用于复合材料增强时添加量越高越好吗？</w:t>
        <w:br/>
        <w:t>A：不是。过量可能导致团聚、黏度过高和界面缺陷。建议采用空白、低、中、高梯度先寻找有效区间。</w:t>
      </w:r>
    </w:p>
    <w:p>
      <w:r>
        <w:t>【应用客户常搜】Q：第一次购买 CNF 应重点确认哪些参数？</w:t>
        <w:br/>
        <w:t>A：建议确认产品形态、固含、尺寸、表面基团及含量、pH/分散介质、表面电性和对应COA，并结合目标体系确认推荐小试方法。</w:t>
      </w:r>
    </w:p>
    <w:p w14:paraId="1B60D594">
      <w:pPr>
        <w:pStyle w:val="4"/>
      </w:pPr>
      <w:r>
        <w:t>相关技术资料</w:t>
      </w:r>
    </w:p>
    <w:p w14:paraId="77A74682">
      <w:pPr>
        <w:pStyle w:val="16"/>
      </w:pPr>
      <w:r>
        <w:t>产品技术数据表（TDS）</w:t>
      </w:r>
    </w:p>
    <w:p w14:paraId="76FB9F7C">
      <w:pPr>
        <w:pStyle w:val="16"/>
      </w:pPr>
      <w:r>
        <w:t>产品检测报告（COA）</w:t>
      </w:r>
    </w:p>
    <w:p w14:paraId="2A0125DB">
      <w:pPr>
        <w:pStyle w:val="16"/>
      </w:pPr>
      <w:r>
        <w:t>产品表征资料</w:t>
      </w:r>
    </w:p>
    <w:p w14:paraId="3E87072B">
      <w:pPr>
        <w:pStyle w:val="16"/>
      </w:pPr>
      <w:r>
        <w:t>产品应用指南</w:t>
      </w:r>
    </w:p>
    <w:p w14:paraId="65E0555B">
      <w:pPr>
        <w:pStyle w:val="16"/>
      </w:pPr>
      <w:r>
        <w:t>小试参考方案</w:t>
      </w:r>
    </w:p>
    <w:p w14:paraId="0A3A3B94">
      <w:r>
        <w:br w:type="page"/>
      </w:r>
    </w:p>
    <w:sectPr>
      <w:pgSz w:w="12240" w:h="15840"/>
      <w:pgMar w:top="964" w:right="1077" w:bottom="964" w:left="107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微软雅黑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ゴシック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6FCDDC29"/>
    <w:rsid w:val="FBFC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微软雅黑" w:hAnsi="微软雅黑" w:eastAsia="微软雅黑" w:cstheme="minorBidi"/>
      <w:sz w:val="20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A7D44"/>
      <w:sz w:val="30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uiPriority w:val="1"/>
  </w:style>
  <w:style w:type="table" w:default="1" w:styleId="3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uiPriority w:val="99"/>
    <w:rPr>
      <w:sz w:val="24"/>
    </w:rPr>
  </w:style>
  <w:style w:type="paragraph" w:styleId="31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5"/>
    <w:uiPriority w:val="99"/>
  </w:style>
  <w:style w:type="character" w:customStyle="1" w:styleId="137">
    <w:name w:val="Footer Char"/>
    <w:basedOn w:val="133"/>
    <w:link w:val="24"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19"/>
    <w:uiPriority w:val="99"/>
  </w:style>
  <w:style w:type="character" w:customStyle="1" w:styleId="146">
    <w:name w:val="Body Text 2 Char"/>
    <w:basedOn w:val="133"/>
    <w:link w:val="28"/>
    <w:uiPriority w:val="99"/>
  </w:style>
  <w:style w:type="character" w:customStyle="1" w:styleId="147">
    <w:name w:val="Body Text 3 Char"/>
    <w:basedOn w:val="133"/>
    <w:link w:val="17"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59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2013-12-24T15:15:00Z</dcterms:created>
  <dc:creator>python-docx</dc:creator>
  <dc:description>generated by python-docx</dc:description>
  <cp:lastModifiedBy>janice</cp:lastModifiedBy>
  <dcterms:modified xsi:type="dcterms:W3CDTF">2026-08-27T11:06:23Z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AC1BF324567400F4C95F8D6A43892F09_42</vt:lpwstr>
  </property>
</Properties>
</file>