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00FA1">
      <w:pPr>
        <w:pStyle w:val="31"/>
        <w:jc w:val="center"/>
      </w:pPr>
      <w:r>
        <w:t>纳米纤维素FTIR傅里叶变换红外光谱</w:t>
      </w:r>
    </w:p>
    <w:p w14:paraId="3BBC5444">
      <w:pPr>
        <w:pStyle w:val="31"/>
        <w:jc w:val="center"/>
      </w:pPr>
      <w:r>
        <w:t>制样方法与常见问题解决办法</w:t>
      </w:r>
    </w:p>
    <w:p w14:paraId="66CF658C">
      <w:r>
        <w:rPr>
          <w:b/>
        </w:rPr>
        <w:t xml:space="preserve">适用范围  </w:t>
      </w:r>
      <w:r>
        <w:t>用于识别官能团及处理前后变化。常规干态比较优先选ATR；水分或湿态结构研究应另设湿态测试。</w:t>
      </w:r>
    </w:p>
    <w:p w14:paraId="1E9899FE">
      <w:r>
        <w:rPr>
          <w:b/>
        </w:rPr>
        <w:t xml:space="preserve">使用说明  </w:t>
      </w:r>
      <w:r>
        <w:t>以下数值为起始试验建议，并非统一标准。样品浓度均指质量分数；具体参数按仪器、表面改性和测试目的与平台确认。操作设备遵守平台规程。</w:t>
      </w:r>
    </w:p>
    <w:p w14:paraId="3DD4CB15">
      <w:pPr>
        <w:pStyle w:val="3"/>
      </w:pPr>
      <w:r>
        <w:t>一 制样前准备</w:t>
      </w:r>
    </w:p>
    <w:p w14:paraId="4949DE11">
      <w:r>
        <w:rPr>
          <w:b/>
        </w:rPr>
        <w:t xml:space="preserve">用品  </w:t>
      </w:r>
      <w:r>
        <w:t>ATR附件或KBr压片附件、洁净工具、干燥器；使用光谱纯KBr和附件认可的清洁介质。</w:t>
      </w:r>
    </w:p>
    <w:p w14:paraId="1FFDF1B0">
      <w:r>
        <w:rPr>
          <w:b/>
        </w:rPr>
        <w:t xml:space="preserve">样品信息  </w:t>
      </w:r>
      <w:r>
        <w:t>记录样品编号、类型、固含量、介质、改性方式和储存历史。保留原样与处理对照；所有处理条件写入制样记录。</w:t>
      </w:r>
    </w:p>
    <w:p w14:paraId="0C08541C">
      <w:pPr>
        <w:pStyle w:val="3"/>
      </w:pPr>
      <w:r>
        <w:t>二 制样与上机步骤</w:t>
      </w:r>
    </w:p>
    <w:p w14:paraId="0E2B6974">
      <w:r>
        <w:rPr>
          <w:b/>
        </w:rPr>
        <w:t xml:space="preserve">1 取样与预处理  </w:t>
      </w:r>
      <w:r>
        <w:t>原料、未改性样与改性样统一干燥和储存。粉末充分混匀，薄膜选择平整测试面；不可为方便制样加入会引入吸收峰的胶或粘结剂。</w:t>
      </w:r>
    </w:p>
    <w:p w14:paraId="74DFFCBA">
      <w:r>
        <w:rPr>
          <w:b/>
        </w:rPr>
        <w:t xml:space="preserve">2 优先ATR  </w:t>
      </w:r>
      <w:r>
        <w:t>粉末或薄膜温和干燥后置于洁净ATR晶体上，使测试面充分接触，按附件要求施压；先采背景，再采样品，测后清洁晶体。</w:t>
      </w:r>
    </w:p>
    <w:p w14:paraId="60125172">
      <w:r>
        <w:rPr>
          <w:b/>
        </w:rPr>
        <w:t xml:space="preserve">3 参数与替代方案  </w:t>
      </w:r>
      <w:r>
        <w:t>可从4000～400 cm⁻¹、分辨率4 cm⁻¹、32次扫描起试，范围以附件能力为准。若用KBr压片，可从约1 mg样品配100 mg干燥光谱纯KBr起试，混匀后由平台压片。</w:t>
      </w:r>
    </w:p>
    <w:p w14:paraId="40B95778">
      <w:r>
        <w:rPr>
          <w:b/>
        </w:rPr>
        <w:t xml:space="preserve">4 对照判读  </w:t>
      </w:r>
      <w:r>
        <w:t>原料、处理前后样品采用相同模式与预处理；保留原始谱，比较峰位和形状时统一基线与归一化方法。</w:t>
      </w:r>
    </w:p>
    <w:p w14:paraId="2AD718C5">
      <w:r>
        <w:rPr>
          <w:b/>
        </w:rPr>
        <w:t xml:space="preserve">5 保存与交接  </w:t>
      </w:r>
      <w:r>
        <w:t>ATR先测清洁晶体背景，放样后以相近接触压力采谱；压力不得超过附件限制。KBr压片需保持干燥，均匀混合后按平台压片规程操作，不自行套用统一压力。</w:t>
      </w:r>
    </w:p>
    <w:p w14:paraId="6B696D71">
      <w:r>
        <w:br w:type="page"/>
      </w:r>
    </w:p>
    <w:p w14:paraId="7613FC89">
      <w:pPr>
        <w:pStyle w:val="3"/>
      </w:pPr>
      <w:r>
        <w:t>三 常见问题与解决办法</w:t>
      </w:r>
    </w:p>
    <w:p w14:paraId="564C7C02">
      <w:pPr>
        <w:pStyle w:val="4"/>
      </w:pPr>
      <w:r>
        <w:t>1 水吸收过强或背景漂移</w:t>
      </w:r>
    </w:p>
    <w:p w14:paraId="0C29A146">
      <w:r>
        <w:t>检查样品和KBr吸湿，重新干燥并采背景；实验室湿度变化时先恢复吹扫或环境稳定。不要把纤维素本身羟基峰当作应被全部去除的水峰。</w:t>
      </w:r>
    </w:p>
    <w:p w14:paraId="67D98D61">
      <w:pPr>
        <w:pStyle w:val="4"/>
      </w:pPr>
      <w:r>
        <w:t>2 信号弱且重复性差</w:t>
      </w:r>
    </w:p>
    <w:p w14:paraId="60902706">
      <w:r>
        <w:t>ATR优先检查接触面积与压力；薄膜不平整时换平整位置。KBr法检查样品分布与片的均匀性。</w:t>
      </w:r>
    </w:p>
    <w:p w14:paraId="604BD064">
      <w:pPr>
        <w:pStyle w:val="4"/>
      </w:pPr>
      <w:r>
        <w:t>3 峰顶平直或吸收饱和</w:t>
      </w:r>
    </w:p>
    <w:p w14:paraId="79864AD9">
      <w:r>
        <w:t>透射法降低样品占比或片厚后重测；确认背景、量程和基线，不以归一化替代重测。</w:t>
      </w:r>
    </w:p>
    <w:p w14:paraId="69188B65">
      <w:pPr>
        <w:pStyle w:val="4"/>
      </w:pPr>
      <w:r>
        <w:t>4 改性后未见新峰</w:t>
      </w:r>
    </w:p>
    <w:p w14:paraId="03D2C7FF">
      <w:r>
        <w:t>检查改性含量、峰重叠及检测灵敏度；设置处理空白。不能据此直接判定改性失败，也不能仅凭峰位移认定接枝成功。</w:t>
      </w:r>
    </w:p>
    <w:p w14:paraId="2A4A691E">
      <w:pPr>
        <w:pStyle w:val="3"/>
      </w:pPr>
      <w:r>
        <w:t>四 结果检查与记录</w:t>
      </w:r>
    </w:p>
    <w:p w14:paraId="0AE575BF">
      <w:r>
        <w:t>各样品至少换2～3个位置检查均匀性。保存原始谱，记录模式、晶体、范围、分辨率、扫描次数、干燥方式和处理流程；ATR与透射谱强度不直接比较。</w:t>
      </w:r>
    </w:p>
    <w:p w14:paraId="0F50EE70">
      <w:r>
        <w:rPr>
          <w:b/>
        </w:rPr>
        <w:t xml:space="preserve">复测原则  </w:t>
      </w:r>
      <w:r>
        <w:t>先排查制样、空白与仪器条件，每轮只改变一个主要变量。复测时保留原始数据和异常记录。</w:t>
      </w:r>
    </w:p>
    <w:p w14:paraId="3262C20E">
      <w:bookmarkStart w:id="0" w:name="_GoBack"/>
      <w:bookmarkEnd w:id="0"/>
    </w:p>
    <w:sectPr>
      <w:footerReference r:id="rId5" w:type="default"/>
      <w:pgSz w:w="11906" w:h="16838"/>
      <w:pgMar w:top="1020" w:right="1077" w:bottom="1020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ゴシック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A82E43">
    <w:pPr>
      <w:pStyle w:val="24"/>
      <w:jc w:val="right"/>
    </w:pPr>
    <w: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9E98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40" w:line="283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160" w:after="120"/>
      <w:outlineLvl w:val="0"/>
    </w:pPr>
    <w:rPr>
      <w:rFonts w:ascii="Arial Unicode MS" w:hAnsi="Arial Unicode MS" w:eastAsia="Arial Unicode MS" w:cstheme="majorBidi"/>
      <w:b/>
      <w:bCs/>
      <w:color w:val="000000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120"/>
      <w:outlineLvl w:val="1"/>
    </w:pPr>
    <w:rPr>
      <w:rFonts w:ascii="Arial Unicode MS" w:hAnsi="Arial Unicode MS" w:eastAsia="Arial Unicode MS" w:cstheme="majorBidi"/>
      <w:b/>
      <w:bCs/>
      <w:color w:val="000000"/>
      <w:sz w:val="23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="Arial Unicode MS" w:hAnsi="Arial Unicode MS" w:eastAsia="Arial Unicode MS" w:cstheme="majorBidi"/>
      <w:b/>
      <w:bCs/>
      <w:color w:val="000000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="Arial Unicode MS" w:hAnsi="Arial Unicode MS" w:eastAsia="Arial Unicode MS" w:cstheme="majorBidi"/>
      <w:b/>
      <w:bCs/>
      <w:i/>
      <w:iCs/>
      <w:color w:val="000000"/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="Arial Unicode MS" w:hAnsi="Arial Unicode MS" w:eastAsia="Arial Unicode MS" w:cstheme="majorBidi"/>
      <w:color w:val="00000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="Arial Unicode MS" w:hAnsi="Arial Unicode MS" w:eastAsia="Arial Unicode MS" w:cstheme="majorBidi"/>
      <w:color w:val="000000"/>
      <w:sz w:val="20"/>
      <w:szCs w:val="20"/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="Arial Unicode MS" w:hAnsi="Arial Unicode MS" w:eastAsia="Arial Unicode MS" w:cstheme="majorBidi"/>
      <w:i/>
      <w:iCs/>
      <w:color w:val="000000"/>
      <w:sz w:val="20"/>
      <w:szCs w:val="20"/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Arial Unicode MS" w:hAnsi="Arial Unicode MS" w:eastAsia="Arial Unicode MS" w:cstheme="minorBidi"/>
      <w:color w:val="000000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  <w:rPr>
      <w:rFonts w:ascii="Arial Unicode MS" w:hAnsi="Arial Unicode MS" w:eastAsia="Arial Unicode MS"/>
      <w:color w:val="000000"/>
    </w:r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  <w:rPr>
      <w:rFonts w:ascii="Arial Unicode MS" w:hAnsi="Arial Unicode MS" w:eastAsia="Arial Unicode MS"/>
      <w:color w:val="000000"/>
    </w:r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  <w:rPr>
      <w:rFonts w:ascii="Arial Unicode MS" w:hAnsi="Arial Unicode MS" w:eastAsia="Arial Unicode MS"/>
      <w:color w:val="000000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rFonts w:ascii="Arial Unicode MS" w:hAnsi="Arial Unicode MS" w:eastAsia="Arial Unicode MS"/>
      <w:b/>
      <w:bCs/>
      <w:color w:val="000000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Arial Unicode MS" w:hAnsi="Arial Unicode MS" w:eastAsia="Arial Unicode MS"/>
      <w:color w:val="000000"/>
    </w:r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rFonts w:ascii="Arial Unicode MS" w:hAnsi="Arial Unicode MS" w:eastAsia="Arial Unicode MS"/>
      <w:color w:val="000000"/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  <w:rPr>
      <w:rFonts w:ascii="Arial Unicode MS" w:hAnsi="Arial Unicode MS" w:eastAsia="Arial Unicode MS"/>
      <w:color w:val="000000"/>
    </w:r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Arial Unicode MS" w:hAnsi="Arial Unicode MS" w:eastAsia="Arial Unicode MS"/>
      <w:color w:val="000000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  <w:rPr>
      <w:rFonts w:ascii="Arial Unicode MS" w:hAnsi="Arial Unicode MS" w:eastAsia="Arial Unicode MS"/>
      <w:color w:val="000000"/>
    </w:rPr>
  </w:style>
  <w:style w:type="paragraph" w:styleId="21">
    <w:name w:val="List 2"/>
    <w:basedOn w:val="1"/>
    <w:unhideWhenUsed/>
    <w:uiPriority w:val="99"/>
    <w:pPr>
      <w:ind w:left="720" w:hanging="360"/>
      <w:contextualSpacing/>
    </w:pPr>
    <w:rPr>
      <w:rFonts w:ascii="Arial Unicode MS" w:hAnsi="Arial Unicode MS" w:eastAsia="Arial Unicode MS"/>
      <w:color w:val="000000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  <w:rPr>
      <w:rFonts w:ascii="Arial Unicode MS" w:hAnsi="Arial Unicode MS" w:eastAsia="Arial Unicode MS"/>
      <w:color w:val="000000"/>
    </w:r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Arial Unicode MS" w:hAnsi="Arial Unicode MS" w:eastAsia="Arial Unicode MS"/>
      <w:color w:val="000000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6">
    <w:name w:val="Subtitle"/>
    <w:basedOn w:val="1"/>
    <w:next w:val="1"/>
    <w:link w:val="142"/>
    <w:qFormat/>
    <w:uiPriority w:val="11"/>
    <w:rPr>
      <w:rFonts w:ascii="Arial Unicode MS" w:hAnsi="Arial Unicode MS" w:eastAsia="Arial Unicode MS" w:cstheme="majorBidi"/>
      <w:i/>
      <w:iCs/>
      <w:color w:val="000000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  <w:rPr>
      <w:rFonts w:ascii="Arial Unicode MS" w:hAnsi="Arial Unicode MS" w:eastAsia="Arial Unicode MS"/>
      <w:color w:val="000000"/>
    </w:r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  <w:rPr>
      <w:rFonts w:ascii="Arial Unicode MS" w:hAnsi="Arial Unicode MS" w:eastAsia="Arial Unicode MS"/>
      <w:color w:val="000000"/>
    </w:r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  <w:rPr>
      <w:rFonts w:ascii="Arial Unicode MS" w:hAnsi="Arial Unicode MS" w:eastAsia="Arial Unicode MS"/>
      <w:color w:val="000000"/>
    </w:r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  <w:rPr>
      <w:rFonts w:ascii="Arial Unicode MS" w:hAnsi="Arial Unicode MS" w:eastAsia="Arial Unicode MS"/>
      <w:color w:val="000000"/>
    </w:rPr>
  </w:style>
  <w:style w:type="paragraph" w:styleId="31">
    <w:name w:val="Title"/>
    <w:basedOn w:val="1"/>
    <w:next w:val="1"/>
    <w:link w:val="141"/>
    <w:qFormat/>
    <w:uiPriority w:val="10"/>
    <w:pPr>
      <w:spacing w:before="160" w:after="120" w:line="240" w:lineRule="auto"/>
      <w:contextualSpacing/>
    </w:pPr>
    <w:rPr>
      <w:rFonts w:ascii="Arial Unicode MS" w:hAnsi="Arial Unicode MS" w:eastAsia="Arial Unicode MS" w:cstheme="majorBidi"/>
      <w:color w:val="000000"/>
      <w:spacing w:val="5"/>
      <w:kern w:val="28"/>
      <w:sz w:val="38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  <w:rPr>
      <w:rFonts w:ascii="Arial Unicode MS" w:hAnsi="Arial Unicode MS" w:eastAsia="Arial Unicode MS"/>
      <w:color w:val="000000"/>
    </w:r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rFonts w:ascii="Arial Unicode MS" w:hAnsi="Arial Unicode MS" w:eastAsia="Arial Unicode MS"/>
      <w:i/>
      <w:iCs/>
      <w:color w:val="000000"/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spacing w:before="200" w:after="280"/>
      <w:ind w:left="936" w:right="936"/>
    </w:pPr>
    <w:rPr>
      <w:rFonts w:ascii="Arial Unicode MS" w:hAnsi="Arial Unicode MS" w:eastAsia="Arial Unicode MS"/>
      <w:b/>
      <w:bCs/>
      <w:i/>
      <w:iCs/>
      <w:color w:val="000000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  <w:rPr>
      <w:rFonts w:ascii="Arial Unicode MS" w:hAnsi="Arial Unicode MS" w:eastAsia="Arial Unicode MS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janice</cp:lastModifiedBy>
  <dcterms:modified xsi:type="dcterms:W3CDTF">2026-09-18T09:35:13Z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33B13810155193355195AC6A34469CDC_42</vt:lpwstr>
  </property>
</Properties>
</file>