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232A61">
      <w:pPr>
        <w:pStyle w:val="31"/>
        <w:jc w:val="center"/>
      </w:pPr>
      <w:r>
        <w:t>纳米纤维素AFM原子力显微镜</w:t>
      </w:r>
    </w:p>
    <w:p w14:paraId="74F85F2F">
      <w:pPr>
        <w:jc w:val="center"/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</w:pPr>
      <w:r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  <w:t>制样方法与常见问题解决办法</w:t>
      </w:r>
    </w:p>
    <w:p w14:paraId="47DF7270">
      <w:r>
        <w:rPr>
          <w:b/>
        </w:rPr>
        <w:t xml:space="preserve">适用范围  </w:t>
      </w:r>
      <w:r>
        <w:t>用于测量基底上颗粒的高度、形貌及表面粗糙度。空气干态与液相AFM须分别建立方法。</w:t>
      </w:r>
    </w:p>
    <w:p w14:paraId="52CFFAD9">
      <w:r>
        <w:rPr>
          <w:b/>
        </w:rPr>
        <w:t xml:space="preserve">使用说明  </w:t>
      </w:r>
      <w:r>
        <w:t>以下数值为起始试验建议，并非统一标准。样品浓度均指质量分数；具体参数按仪器、表面改性和测试目的与平台确认。操作设备遵守平台规程。</w:t>
      </w:r>
    </w:p>
    <w:p w14:paraId="49AADA3A">
      <w:pPr>
        <w:pStyle w:val="3"/>
      </w:pPr>
      <w:r>
        <w:t>一 制样前准备</w:t>
      </w:r>
    </w:p>
    <w:p w14:paraId="0ED2E9AD">
      <w:r>
        <w:rPr>
          <w:b/>
        </w:rPr>
        <w:t xml:space="preserve">用品  </w:t>
      </w:r>
      <w:r>
        <w:t>新剥离云母或洁净硅片、移液器、洁净镊子、滤纸、适配探针及防尘容器。</w:t>
      </w:r>
    </w:p>
    <w:p w14:paraId="0FDC7CE3">
      <w:r>
        <w:rPr>
          <w:b/>
        </w:rPr>
        <w:t xml:space="preserve">样品信息  </w:t>
      </w:r>
      <w:r>
        <w:t>记录样品编号、类型、固含量、介质、改性方式和储存历史。保留原样与处理对照；所有处理条件写入制样记录。</w:t>
      </w:r>
    </w:p>
    <w:p w14:paraId="3B0BDE97">
      <w:pPr>
        <w:pStyle w:val="3"/>
      </w:pPr>
      <w:r>
        <w:t>二 制样与上机步骤</w:t>
      </w:r>
    </w:p>
    <w:p w14:paraId="1A2A4416">
      <w:r>
        <w:rPr>
          <w:b/>
        </w:rPr>
        <w:t xml:space="preserve">1 取样与预处理  </w:t>
      </w:r>
      <w:r>
        <w:t>制片优先用未干燥分散液，做两档稀释；每次只改变一个变量。基底清洁后及时使用，避免手指、纸屑和空气沉积污染。</w:t>
      </w:r>
    </w:p>
    <w:p w14:paraId="2221C552">
      <w:r>
        <w:rPr>
          <w:b/>
        </w:rPr>
        <w:t xml:space="preserve">2 基底与沉积  </w:t>
      </w:r>
      <w:r>
        <w:t>用新剥离云母或洁净硅片，先试0.0001%～0.001%分散液；滴加5～10 μL，吸附约1～5分钟，目标是得到稀疏、互不重叠的颗粒。</w:t>
      </w:r>
    </w:p>
    <w:p w14:paraId="326C7420">
      <w:r>
        <w:rPr>
          <w:b/>
        </w:rPr>
        <w:t xml:space="preserve">3 去液与扫描  </w:t>
      </w:r>
      <w:r>
        <w:t>从边缘吸除余液后干燥；有盐残留时，可在不明显冲走颗粒的条件下轻洗并保留未洗对照。采用轻敲等低作用力模式，先大范围定位，再测高度剖面。</w:t>
      </w:r>
    </w:p>
    <w:p w14:paraId="50253D79">
      <w:r>
        <w:rPr>
          <w:b/>
        </w:rPr>
        <w:t xml:space="preserve">4 保存与交接  </w:t>
      </w:r>
      <w:r>
        <w:t>沉积时间以获得独立颗粒为目标。若样品不吸附，先调整沉积条件，再由平台选择基底处理；一旦使用表面改性基底，必须记录并考虑对颗粒形态的影响。</w:t>
      </w:r>
    </w:p>
    <w:p w14:paraId="66E81738">
      <w:r>
        <w:br w:type="page"/>
      </w:r>
    </w:p>
    <w:p w14:paraId="63F062CC">
      <w:pPr>
        <w:pStyle w:val="3"/>
      </w:pPr>
      <w:r>
        <w:t>三 常见问题与解决办法</w:t>
      </w:r>
    </w:p>
    <w:p w14:paraId="323124FC">
      <w:pPr>
        <w:pStyle w:val="4"/>
      </w:pPr>
      <w:r>
        <w:t>1 扫描不到颗粒</w:t>
      </w:r>
    </w:p>
    <w:p w14:paraId="3379455B">
      <w:r>
        <w:t>检查样品过稀、吸附不足或冲洗带走颗粒；适当提高浓度、延长吸附时间，拍空白基底作对照。</w:t>
      </w:r>
    </w:p>
    <w:p w14:paraId="385A43F7">
      <w:pPr>
        <w:pStyle w:val="4"/>
      </w:pPr>
      <w:r>
        <w:t>2 出现条纹或双重轮廓</w:t>
      </w:r>
    </w:p>
    <w:p w14:paraId="332C251F">
      <w:r>
        <w:t>降低扫描速度、优化反馈；若重复轮廓随颗粒出现，检查探针污染或多尖端，必要时换针。</w:t>
      </w:r>
    </w:p>
    <w:p w14:paraId="26F58A43">
      <w:pPr>
        <w:pStyle w:val="4"/>
      </w:pPr>
      <w:r>
        <w:t>3 颗粒被拖动或形变</w:t>
      </w:r>
    </w:p>
    <w:p w14:paraId="6C6F5930">
      <w:r>
        <w:t>降低作用力并优化模式；确认基底吸附。不能靠加大压力获得稳定图像后仍将其当作原始高度。</w:t>
      </w:r>
    </w:p>
    <w:p w14:paraId="741B1840">
      <w:pPr>
        <w:pStyle w:val="4"/>
      </w:pPr>
      <w:r>
        <w:t>4 AFM宽度比TEM更大</w:t>
      </w:r>
    </w:p>
    <w:p w14:paraId="2C98725A">
      <w:r>
        <w:t>检查针尖卷积、侧向聚集和颗粒吸附方向；高度通常较少受横向展宽影响，但仍受压缩和吸附影响，勿直接等同真实直径。</w:t>
      </w:r>
    </w:p>
    <w:p w14:paraId="5B4F9DF2">
      <w:pPr>
        <w:pStyle w:val="3"/>
      </w:pPr>
      <w:r>
        <w:t>四 结果检查与记录</w:t>
      </w:r>
    </w:p>
    <w:p w14:paraId="79780EA5">
      <w:r>
        <w:t>在多个位置取像，使用相同扫描尺寸比较粗糙度。高度剖面跨过孤立颗粒并以邻近基底为零点；保存未处理图像，记录展平等后处理。</w:t>
      </w:r>
    </w:p>
    <w:p w14:paraId="74F0B0FA">
      <w:r>
        <w:rPr>
          <w:b/>
        </w:rPr>
        <w:t xml:space="preserve">复测原则  </w:t>
      </w:r>
      <w:r>
        <w:t>先排查制样、空白与仪器条件，每轮只改变一个主要变量。复测时保留原始数据和异常记录。</w:t>
      </w:r>
    </w:p>
    <w:p w14:paraId="504B595E">
      <w:bookmarkStart w:id="0" w:name="_GoBack"/>
      <w:bookmarkEnd w:id="0"/>
    </w:p>
    <w:sectPr>
      <w:footerReference r:id="rId5" w:type="default"/>
      <w:pgSz w:w="11906" w:h="16838"/>
      <w:pgMar w:top="1020" w:right="1077" w:bottom="1020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ゴシック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8B7855">
    <w:pPr>
      <w:pStyle w:val="24"/>
      <w:jc w:val="right"/>
    </w:pPr>
    <w: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D7FB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40" w:line="283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160" w:after="120"/>
      <w:outlineLvl w:val="0"/>
    </w:pPr>
    <w:rPr>
      <w:rFonts w:ascii="Arial Unicode MS" w:hAnsi="Arial Unicode MS" w:eastAsia="Arial Unicode MS" w:cstheme="majorBidi"/>
      <w:b/>
      <w:bCs/>
      <w:color w:val="000000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120"/>
      <w:outlineLvl w:val="1"/>
    </w:pPr>
    <w:rPr>
      <w:rFonts w:ascii="Arial Unicode MS" w:hAnsi="Arial Unicode MS" w:eastAsia="Arial Unicode MS" w:cstheme="majorBidi"/>
      <w:b/>
      <w:bCs/>
      <w:color w:val="000000"/>
      <w:sz w:val="23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="Arial Unicode MS" w:hAnsi="Arial Unicode MS" w:eastAsia="Arial Unicode MS" w:cstheme="majorBidi"/>
      <w:b/>
      <w:bCs/>
      <w:color w:val="000000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="Arial Unicode MS" w:hAnsi="Arial Unicode MS" w:eastAsia="Arial Unicode MS" w:cstheme="majorBidi"/>
      <w:b/>
      <w:bCs/>
      <w:i/>
      <w:iCs/>
      <w:color w:val="000000"/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="Arial Unicode MS" w:hAnsi="Arial Unicode MS" w:eastAsia="Arial Unicode MS" w:cstheme="majorBidi"/>
      <w:color w:val="00000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="Arial Unicode MS" w:hAnsi="Arial Unicode MS" w:eastAsia="Arial Unicode MS" w:cstheme="majorBidi"/>
      <w:color w:val="000000"/>
      <w:sz w:val="20"/>
      <w:szCs w:val="20"/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="Arial Unicode MS" w:hAnsi="Arial Unicode MS" w:eastAsia="Arial Unicode MS" w:cstheme="majorBidi"/>
      <w:i/>
      <w:iCs/>
      <w:color w:val="000000"/>
      <w:sz w:val="20"/>
      <w:szCs w:val="20"/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Arial Unicode MS" w:hAnsi="Arial Unicode MS" w:eastAsia="Arial Unicode MS" w:cstheme="minorBidi"/>
      <w:color w:val="000000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  <w:rPr>
      <w:rFonts w:ascii="Arial Unicode MS" w:hAnsi="Arial Unicode MS" w:eastAsia="Arial Unicode MS"/>
      <w:color w:val="000000"/>
    </w:r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  <w:rPr>
      <w:rFonts w:ascii="Arial Unicode MS" w:hAnsi="Arial Unicode MS" w:eastAsia="Arial Unicode MS"/>
      <w:color w:val="000000"/>
    </w:r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  <w:rPr>
      <w:rFonts w:ascii="Arial Unicode MS" w:hAnsi="Arial Unicode MS" w:eastAsia="Arial Unicode MS"/>
      <w:color w:val="000000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rFonts w:ascii="Arial Unicode MS" w:hAnsi="Arial Unicode MS" w:eastAsia="Arial Unicode MS"/>
      <w:b/>
      <w:bCs/>
      <w:color w:val="000000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Arial Unicode MS" w:hAnsi="Arial Unicode MS" w:eastAsia="Arial Unicode MS"/>
      <w:color w:val="000000"/>
    </w:r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rFonts w:ascii="Arial Unicode MS" w:hAnsi="Arial Unicode MS" w:eastAsia="Arial Unicode MS"/>
      <w:color w:val="000000"/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  <w:rPr>
      <w:rFonts w:ascii="Arial Unicode MS" w:hAnsi="Arial Unicode MS" w:eastAsia="Arial Unicode MS"/>
      <w:color w:val="000000"/>
    </w:r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Arial Unicode MS" w:hAnsi="Arial Unicode MS" w:eastAsia="Arial Unicode MS"/>
      <w:color w:val="000000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  <w:rPr>
      <w:rFonts w:ascii="Arial Unicode MS" w:hAnsi="Arial Unicode MS" w:eastAsia="Arial Unicode MS"/>
      <w:color w:val="000000"/>
    </w:rPr>
  </w:style>
  <w:style w:type="paragraph" w:styleId="21">
    <w:name w:val="List 2"/>
    <w:basedOn w:val="1"/>
    <w:unhideWhenUsed/>
    <w:uiPriority w:val="99"/>
    <w:pPr>
      <w:ind w:left="720" w:hanging="360"/>
      <w:contextualSpacing/>
    </w:pPr>
    <w:rPr>
      <w:rFonts w:ascii="Arial Unicode MS" w:hAnsi="Arial Unicode MS" w:eastAsia="Arial Unicode MS"/>
      <w:color w:val="000000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  <w:rPr>
      <w:rFonts w:ascii="Arial Unicode MS" w:hAnsi="Arial Unicode MS" w:eastAsia="Arial Unicode MS"/>
      <w:color w:val="000000"/>
    </w:r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Arial Unicode MS" w:hAnsi="Arial Unicode MS" w:eastAsia="Arial Unicode MS"/>
      <w:color w:val="000000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6">
    <w:name w:val="Subtitle"/>
    <w:basedOn w:val="1"/>
    <w:next w:val="1"/>
    <w:link w:val="142"/>
    <w:qFormat/>
    <w:uiPriority w:val="11"/>
    <w:rPr>
      <w:rFonts w:ascii="Arial Unicode MS" w:hAnsi="Arial Unicode MS" w:eastAsia="Arial Unicode MS" w:cstheme="majorBidi"/>
      <w:i/>
      <w:iCs/>
      <w:color w:val="000000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  <w:rPr>
      <w:rFonts w:ascii="Arial Unicode MS" w:hAnsi="Arial Unicode MS" w:eastAsia="Arial Unicode MS"/>
      <w:color w:val="000000"/>
    </w:r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  <w:rPr>
      <w:rFonts w:ascii="Arial Unicode MS" w:hAnsi="Arial Unicode MS" w:eastAsia="Arial Unicode MS"/>
      <w:color w:val="000000"/>
    </w:r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  <w:rPr>
      <w:rFonts w:ascii="Arial Unicode MS" w:hAnsi="Arial Unicode MS" w:eastAsia="Arial Unicode MS"/>
      <w:color w:val="000000"/>
    </w:r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  <w:rPr>
      <w:rFonts w:ascii="Arial Unicode MS" w:hAnsi="Arial Unicode MS" w:eastAsia="Arial Unicode MS"/>
      <w:color w:val="000000"/>
    </w:rPr>
  </w:style>
  <w:style w:type="paragraph" w:styleId="31">
    <w:name w:val="Title"/>
    <w:basedOn w:val="1"/>
    <w:next w:val="1"/>
    <w:link w:val="141"/>
    <w:qFormat/>
    <w:uiPriority w:val="10"/>
    <w:pPr>
      <w:spacing w:before="160" w:after="120" w:line="240" w:lineRule="auto"/>
      <w:contextualSpacing/>
    </w:pPr>
    <w:rPr>
      <w:rFonts w:ascii="Arial Unicode MS" w:hAnsi="Arial Unicode MS" w:eastAsia="Arial Unicode MS" w:cstheme="majorBidi"/>
      <w:color w:val="000000"/>
      <w:spacing w:val="5"/>
      <w:kern w:val="28"/>
      <w:sz w:val="38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  <w:rPr>
      <w:rFonts w:ascii="Arial Unicode MS" w:hAnsi="Arial Unicode MS" w:eastAsia="Arial Unicode MS"/>
      <w:color w:val="000000"/>
    </w:r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rFonts w:ascii="Arial Unicode MS" w:hAnsi="Arial Unicode MS" w:eastAsia="Arial Unicode MS"/>
      <w:i/>
      <w:iCs/>
      <w:color w:val="000000"/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spacing w:before="200" w:after="280"/>
      <w:ind w:left="936" w:right="936"/>
    </w:pPr>
    <w:rPr>
      <w:rFonts w:ascii="Arial Unicode MS" w:hAnsi="Arial Unicode MS" w:eastAsia="Arial Unicode MS"/>
      <w:b/>
      <w:bCs/>
      <w:i/>
      <w:iCs/>
      <w:color w:val="000000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  <w:rPr>
      <w:rFonts w:ascii="Arial Unicode MS" w:hAnsi="Arial Unicode MS" w:eastAsia="Arial Unicode MS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janice</cp:lastModifiedBy>
  <dcterms:modified xsi:type="dcterms:W3CDTF">2026-09-18T09:36:40Z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7FA8642C5A30F1D7A895AC6AC1BBB7F2_42</vt:lpwstr>
  </property>
</Properties>
</file>