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871B3F">
      <w:pPr>
        <w:pStyle w:val="31"/>
        <w:jc w:val="center"/>
      </w:pPr>
      <w:r>
        <w:t>纳米纤维素SEM扫描电子显微镜</w:t>
      </w:r>
    </w:p>
    <w:p w14:paraId="023E0667">
      <w:pPr>
        <w:pStyle w:val="31"/>
        <w:jc w:val="center"/>
      </w:pPr>
      <w:r>
        <w:t>制样方法与常见问题解决办法</w:t>
      </w:r>
      <w:bookmarkStart w:id="0" w:name="_GoBack"/>
      <w:bookmarkEnd w:id="0"/>
    </w:p>
    <w:p w14:paraId="2B5A9979">
      <w:r>
        <w:rPr>
          <w:b/>
        </w:rPr>
        <w:t xml:space="preserve">适用范围  </w:t>
      </w:r>
      <w:r>
        <w:t>用于观察干态颗粒、纤维网络、膜面或断面。分散液滴干、冻干块体和冷冻SEM代表不同样品状态，不能互相替代。</w:t>
      </w:r>
    </w:p>
    <w:p w14:paraId="200D5D69">
      <w:r>
        <w:rPr>
          <w:b/>
        </w:rPr>
        <w:t xml:space="preserve">使用说明  </w:t>
      </w:r>
      <w:r>
        <w:t>以下数值为起始试验建议，并非统一标准。样品浓度均指质量分数；具体参数按仪器、表面改性和测试目的与平台确认。操作设备遵守平台规程。</w:t>
      </w:r>
    </w:p>
    <w:p w14:paraId="6DDDF924">
      <w:pPr>
        <w:pStyle w:val="3"/>
      </w:pPr>
      <w:r>
        <w:t>一 制样前准备</w:t>
      </w:r>
    </w:p>
    <w:p w14:paraId="3D422483">
      <w:r>
        <w:rPr>
          <w:b/>
        </w:rPr>
        <w:t xml:space="preserve">用品  </w:t>
      </w:r>
      <w:r>
        <w:t>洁净硅片、导电碳胶、样品台、镊子、移液器、干燥器；必要时配备溅射镀膜仪。</w:t>
      </w:r>
    </w:p>
    <w:p w14:paraId="6A327D84">
      <w:r>
        <w:rPr>
          <w:b/>
        </w:rPr>
        <w:t xml:space="preserve">样品信息  </w:t>
      </w:r>
      <w:r>
        <w:t>记录样品编号、类型、固含量、介质、改性方式和储存历史。保留原样与处理对照；所有处理条件写入制样记录。</w:t>
      </w:r>
    </w:p>
    <w:p w14:paraId="64FE5C5D">
      <w:pPr>
        <w:pStyle w:val="3"/>
      </w:pPr>
      <w:r>
        <w:t>二 制样与上机步骤</w:t>
      </w:r>
    </w:p>
    <w:p w14:paraId="5A87C30F">
      <w:r>
        <w:rPr>
          <w:b/>
        </w:rPr>
        <w:t xml:space="preserve">1 取样与预处理  </w:t>
      </w:r>
      <w:r>
        <w:t>分散液路线：配两档浓度并各做一片，先用低倍比较覆盖密度。若目标是单根尺寸，不要直接把浓原液烘成厚膜。块体路线：取能稳固安装的小片，按平台要求暴露观察面；断面不得用手触摸。</w:t>
      </w:r>
    </w:p>
    <w:p w14:paraId="232AC030">
      <w:r>
        <w:rPr>
          <w:b/>
        </w:rPr>
        <w:t xml:space="preserve">2 选路线  </w:t>
      </w:r>
      <w:r>
        <w:t>观察单根纤维：先试0.001%～0.01%（质量分数）分散液；观察块体、膜或冻干网络：剪取适合样品台的小片，断面观察可用脆断制样。</w:t>
      </w:r>
    </w:p>
    <w:p w14:paraId="59442D0E">
      <w:r>
        <w:rPr>
          <w:b/>
        </w:rPr>
        <w:t xml:space="preserve">3 干燥与固定  </w:t>
      </w:r>
      <w:r>
        <w:t>将5～10 μL稀分散液滴在洁净硅片上干燥，或将干样固定在导电碳胶上。检查无游离粉末；确保样品与样品台导电连接。湿样不可直接进入常规高真空SEM。</w:t>
      </w:r>
    </w:p>
    <w:p w14:paraId="4F817573">
      <w:r>
        <w:rPr>
          <w:b/>
        </w:rPr>
        <w:t xml:space="preserve">4 导电处理  </w:t>
      </w:r>
      <w:r>
        <w:t>按平台要求镀薄层铂或金，记录厚度；先低倍定位，再低电压观察。需研究湿态网络时另选冷冻SEM，冻干仍可能产生冰晶伪影。</w:t>
      </w:r>
    </w:p>
    <w:p w14:paraId="2B8FA587">
      <w:r>
        <w:rPr>
          <w:b/>
        </w:rPr>
        <w:t xml:space="preserve">5 保存与交接  </w:t>
      </w:r>
      <w:r>
        <w:t>干燥后置干燥器保存并及时送测，注明干燥方式。轻触样品台边缘检查安装牢固；导电胶与观察面之间建立导电通路，但不得遮盖目标区域。</w:t>
      </w:r>
    </w:p>
    <w:p w14:paraId="603A1016">
      <w:r>
        <w:br w:type="page"/>
      </w:r>
    </w:p>
    <w:p w14:paraId="3E3171B7">
      <w:pPr>
        <w:pStyle w:val="3"/>
      </w:pPr>
      <w:r>
        <w:t>三 常见问题与解决办法</w:t>
      </w:r>
    </w:p>
    <w:p w14:paraId="4D3CE71E">
      <w:pPr>
        <w:pStyle w:val="4"/>
      </w:pPr>
      <w:r>
        <w:t>1 图像发白或亮暗跳动</w:t>
      </w:r>
    </w:p>
    <w:p w14:paraId="5A09C1F7">
      <w:r>
        <w:t>先检查样品与台面接地，再降低电压、束流或扫描停留；由平台判断是否需薄层补镀。不可只靠提高镀层厚度解决。</w:t>
      </w:r>
    </w:p>
    <w:p w14:paraId="347BD1EE">
      <w:pPr>
        <w:pStyle w:val="4"/>
      </w:pPr>
      <w:r>
        <w:t>2 只看到整片膜或粗大团块</w:t>
      </w:r>
    </w:p>
    <w:p w14:paraId="66C75656">
      <w:r>
        <w:t>降低浓度与滴液体积，重新制片；对比原液与干燥样。必要时改用TEM或AFM，而不是将团块当单根统计。</w:t>
      </w:r>
    </w:p>
    <w:p w14:paraId="2F30D8D8">
      <w:pPr>
        <w:pStyle w:val="4"/>
      </w:pPr>
      <w:r>
        <w:t>3 冻干样孔很大或网络塌缩</w:t>
      </w:r>
    </w:p>
    <w:p w14:paraId="5305A708">
      <w:r>
        <w:t>检查冻结速度与干燥路线；明确冰晶与干燥造成的结构变化。若问题涉及原始湿态网络，改用合适的冷冻表征。</w:t>
      </w:r>
    </w:p>
    <w:p w14:paraId="5A3E0B5A">
      <w:pPr>
        <w:pStyle w:val="4"/>
      </w:pPr>
      <w:r>
        <w:t>4 测得纤维明显偏粗</w:t>
      </w:r>
    </w:p>
    <w:p w14:paraId="3FAAFD67">
      <w:r>
        <w:t>检查纤维束、镀层和图像边界选择。纳米级薄纤维需考虑镀层贡献，用另一种显微方法交叉验证。</w:t>
      </w:r>
    </w:p>
    <w:p w14:paraId="304CDCB6">
      <w:pPr>
        <w:pStyle w:val="3"/>
      </w:pPr>
      <w:r>
        <w:t>四 结果检查与记录</w:t>
      </w:r>
    </w:p>
    <w:p w14:paraId="61F202E4">
      <w:r>
        <w:t>至少观察3个相互分离的区域，保存整体与局部图。报告加速电压、工作距离、检测器、镀层材料与厚度、比例尺和测量对象是单根还是纤维束。</w:t>
      </w:r>
    </w:p>
    <w:p w14:paraId="2A291B9B">
      <w:pPr>
        <w:rPr>
          <w:rFonts w:hint="eastAsia" w:eastAsia="Arial Unicode MS"/>
          <w:lang w:eastAsia="zh-CN"/>
        </w:rPr>
      </w:pPr>
      <w:r>
        <w:rPr>
          <w:b/>
        </w:rPr>
        <w:t xml:space="preserve">复测原则  </w:t>
      </w:r>
      <w:r>
        <w:t>先排查制样、空白与仪器条件，每轮只改变一个主要变量。复测时保留原始数据和异常记录</w:t>
      </w:r>
      <w:r>
        <w:rPr>
          <w:rFonts w:hint="eastAsia"/>
          <w:lang w:eastAsia="zh-CN"/>
        </w:rPr>
        <w:t>。</w:t>
      </w:r>
    </w:p>
    <w:sectPr>
      <w:footerReference r:id="rId5" w:type="default"/>
      <w:pgSz w:w="11906" w:h="16838"/>
      <w:pgMar w:top="1020" w:right="1077" w:bottom="1020" w:left="107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ゴシック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DF0505">
    <w:pPr>
      <w:pStyle w:val="24"/>
      <w:jc w:val="right"/>
    </w:pPr>
    <w:r>
      <w:t xml:space="preserve">第 </w:t>
    </w:r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3" w:lineRule="auto"/>
      </w:pPr>
      <w:r>
        <w:separator/>
      </w:r>
    </w:p>
  </w:footnote>
  <w:footnote w:type="continuationSeparator" w:id="1">
    <w:p>
      <w:pPr>
        <w:spacing w:before="0" w:after="0" w:line="283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576D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40" w:line="283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160" w:after="120"/>
      <w:outlineLvl w:val="0"/>
    </w:pPr>
    <w:rPr>
      <w:rFonts w:ascii="Arial Unicode MS" w:hAnsi="Arial Unicode MS" w:eastAsia="Arial Unicode MS" w:cstheme="majorBidi"/>
      <w:b/>
      <w:bCs/>
      <w:color w:val="000000"/>
      <w:sz w:val="26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160" w:after="120"/>
      <w:outlineLvl w:val="1"/>
    </w:pPr>
    <w:rPr>
      <w:rFonts w:ascii="Arial Unicode MS" w:hAnsi="Arial Unicode MS" w:eastAsia="Arial Unicode MS" w:cstheme="majorBidi"/>
      <w:b/>
      <w:bCs/>
      <w:color w:val="000000"/>
      <w:sz w:val="23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="Arial Unicode MS" w:hAnsi="Arial Unicode MS" w:eastAsia="Arial Unicode MS" w:cstheme="majorBidi"/>
      <w:b/>
      <w:bCs/>
      <w:color w:val="000000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="Arial Unicode MS" w:hAnsi="Arial Unicode MS" w:eastAsia="Arial Unicode MS" w:cstheme="majorBidi"/>
      <w:b/>
      <w:bCs/>
      <w:i/>
      <w:iCs/>
      <w:color w:val="000000"/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="Arial Unicode MS" w:hAnsi="Arial Unicode MS" w:eastAsia="Arial Unicode MS" w:cstheme="majorBidi"/>
      <w:color w:val="00000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="Arial Unicode MS" w:hAnsi="Arial Unicode MS" w:eastAsia="Arial Unicode MS" w:cstheme="majorBidi"/>
      <w:color w:val="000000"/>
      <w:sz w:val="20"/>
      <w:szCs w:val="20"/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="Arial Unicode MS" w:hAnsi="Arial Unicode MS" w:eastAsia="Arial Unicode MS" w:cstheme="majorBidi"/>
      <w:i/>
      <w:iCs/>
      <w:color w:val="000000"/>
      <w:sz w:val="20"/>
      <w:szCs w:val="20"/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Arial Unicode MS" w:hAnsi="Arial Unicode MS" w:eastAsia="Arial Unicode MS" w:cstheme="minorBidi"/>
      <w:color w:val="000000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  <w:rPr>
      <w:rFonts w:ascii="Arial Unicode MS" w:hAnsi="Arial Unicode MS" w:eastAsia="Arial Unicode MS"/>
      <w:color w:val="000000"/>
    </w:r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  <w:rPr>
      <w:rFonts w:ascii="Arial Unicode MS" w:hAnsi="Arial Unicode MS" w:eastAsia="Arial Unicode MS"/>
      <w:color w:val="000000"/>
    </w:r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  <w:rPr>
      <w:rFonts w:ascii="Arial Unicode MS" w:hAnsi="Arial Unicode MS" w:eastAsia="Arial Unicode MS"/>
      <w:color w:val="000000"/>
    </w:r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rFonts w:ascii="Arial Unicode MS" w:hAnsi="Arial Unicode MS" w:eastAsia="Arial Unicode MS"/>
      <w:b/>
      <w:bCs/>
      <w:color w:val="000000"/>
      <w:sz w:val="18"/>
      <w:szCs w:val="18"/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  <w:rPr>
      <w:rFonts w:ascii="Arial Unicode MS" w:hAnsi="Arial Unicode MS" w:eastAsia="Arial Unicode MS"/>
      <w:color w:val="000000"/>
    </w:r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rFonts w:ascii="Arial Unicode MS" w:hAnsi="Arial Unicode MS" w:eastAsia="Arial Unicode MS"/>
      <w:color w:val="000000"/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  <w:rPr>
      <w:rFonts w:ascii="Arial Unicode MS" w:hAnsi="Arial Unicode MS" w:eastAsia="Arial Unicode MS"/>
      <w:color w:val="000000"/>
    </w:rPr>
  </w:style>
  <w:style w:type="paragraph" w:styleId="19">
    <w:name w:val="Body Text"/>
    <w:basedOn w:val="1"/>
    <w:link w:val="144"/>
    <w:unhideWhenUsed/>
    <w:uiPriority w:val="99"/>
    <w:pPr>
      <w:spacing w:after="120"/>
    </w:pPr>
    <w:rPr>
      <w:rFonts w:ascii="Arial Unicode MS" w:hAnsi="Arial Unicode MS" w:eastAsia="Arial Unicode MS"/>
      <w:color w:val="000000"/>
    </w:r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  <w:rPr>
      <w:rFonts w:ascii="Arial Unicode MS" w:hAnsi="Arial Unicode MS" w:eastAsia="Arial Unicode MS"/>
      <w:color w:val="000000"/>
    </w:rPr>
  </w:style>
  <w:style w:type="paragraph" w:styleId="21">
    <w:name w:val="List 2"/>
    <w:basedOn w:val="1"/>
    <w:unhideWhenUsed/>
    <w:uiPriority w:val="99"/>
    <w:pPr>
      <w:ind w:left="720" w:hanging="360"/>
      <w:contextualSpacing/>
    </w:pPr>
    <w:rPr>
      <w:rFonts w:ascii="Arial Unicode MS" w:hAnsi="Arial Unicode MS" w:eastAsia="Arial Unicode MS"/>
      <w:color w:val="000000"/>
    </w:r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  <w:rPr>
      <w:rFonts w:ascii="Arial Unicode MS" w:hAnsi="Arial Unicode MS" w:eastAsia="Arial Unicode MS"/>
      <w:color w:val="000000"/>
    </w:r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  <w:rPr>
      <w:rFonts w:ascii="Arial Unicode MS" w:hAnsi="Arial Unicode MS" w:eastAsia="Arial Unicode MS"/>
      <w:color w:val="000000"/>
    </w:r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6">
    <w:name w:val="Subtitle"/>
    <w:basedOn w:val="1"/>
    <w:next w:val="1"/>
    <w:link w:val="142"/>
    <w:qFormat/>
    <w:uiPriority w:val="11"/>
    <w:rPr>
      <w:rFonts w:ascii="Arial Unicode MS" w:hAnsi="Arial Unicode MS" w:eastAsia="Arial Unicode MS" w:cstheme="majorBidi"/>
      <w:i/>
      <w:iCs/>
      <w:color w:val="000000"/>
      <w:spacing w:val="15"/>
      <w:sz w:val="24"/>
      <w:szCs w:val="24"/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  <w:rPr>
      <w:rFonts w:ascii="Arial Unicode MS" w:hAnsi="Arial Unicode MS" w:eastAsia="Arial Unicode MS"/>
      <w:color w:val="000000"/>
    </w:r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  <w:rPr>
      <w:rFonts w:ascii="Arial Unicode MS" w:hAnsi="Arial Unicode MS" w:eastAsia="Arial Unicode MS"/>
      <w:color w:val="000000"/>
    </w:r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  <w:rPr>
      <w:rFonts w:ascii="Arial Unicode MS" w:hAnsi="Arial Unicode MS" w:eastAsia="Arial Unicode MS"/>
      <w:color w:val="000000"/>
    </w:r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  <w:rPr>
      <w:rFonts w:ascii="Arial Unicode MS" w:hAnsi="Arial Unicode MS" w:eastAsia="Arial Unicode MS"/>
      <w:color w:val="000000"/>
    </w:rPr>
  </w:style>
  <w:style w:type="paragraph" w:styleId="31">
    <w:name w:val="Title"/>
    <w:basedOn w:val="1"/>
    <w:next w:val="1"/>
    <w:link w:val="141"/>
    <w:qFormat/>
    <w:uiPriority w:val="10"/>
    <w:pPr>
      <w:spacing w:before="160" w:after="120" w:line="240" w:lineRule="auto"/>
      <w:contextualSpacing/>
    </w:pPr>
    <w:rPr>
      <w:rFonts w:ascii="Arial Unicode MS" w:hAnsi="Arial Unicode MS" w:eastAsia="Arial Unicode MS" w:cstheme="majorBidi"/>
      <w:color w:val="000000"/>
      <w:spacing w:val="5"/>
      <w:kern w:val="28"/>
      <w:sz w:val="38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  <w:rPr>
      <w:rFonts w:ascii="Arial Unicode MS" w:hAnsi="Arial Unicode MS" w:eastAsia="Arial Unicode MS"/>
      <w:color w:val="000000"/>
    </w:r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rFonts w:ascii="Arial Unicode MS" w:hAnsi="Arial Unicode MS" w:eastAsia="Arial Unicode MS"/>
      <w:i/>
      <w:iCs/>
      <w:color w:val="000000"/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spacing w:before="200" w:after="280"/>
      <w:ind w:left="936" w:right="936"/>
    </w:pPr>
    <w:rPr>
      <w:rFonts w:ascii="Arial Unicode MS" w:hAnsi="Arial Unicode MS" w:eastAsia="Arial Unicode MS"/>
      <w:b/>
      <w:bCs/>
      <w:i/>
      <w:iCs/>
      <w:color w:val="000000"/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  <w:rPr>
      <w:rFonts w:ascii="Arial Unicode MS" w:hAnsi="Arial Unicode MS" w:eastAsia="Arial Unicode MS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/APA.XSL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2013-12-24T07:15:00Z</dcterms:created>
  <dc:creator>python-docx</dc:creator>
  <dc:description>generated by python-docx</dc:description>
  <cp:lastModifiedBy>janice</cp:lastModifiedBy>
  <dcterms:modified xsi:type="dcterms:W3CDTF">2026-09-18T09:24:50Z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CFA6002D0ACBF4A4E292AC6A0D14BCB1_42</vt:lpwstr>
  </property>
</Properties>
</file>